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CB1" w:rsidRPr="00047B74" w:rsidRDefault="00F91CB1">
      <w:pPr>
        <w:tabs>
          <w:tab w:val="right" w:pos="9639"/>
        </w:tabs>
        <w:rPr>
          <w:rFonts w:cs="Arial"/>
          <w:b/>
          <w:sz w:val="24"/>
          <w:szCs w:val="24"/>
        </w:rPr>
      </w:pPr>
      <w:r w:rsidRPr="00047B74">
        <w:rPr>
          <w:rFonts w:cs="Arial"/>
          <w:b/>
          <w:sz w:val="24"/>
          <w:szCs w:val="24"/>
        </w:rPr>
        <w:t>3GPP TSG SA Meeting #7</w:t>
      </w:r>
      <w:r>
        <w:rPr>
          <w:rFonts w:cs="Arial"/>
          <w:b/>
          <w:sz w:val="24"/>
          <w:szCs w:val="24"/>
        </w:rPr>
        <w:t>8</w:t>
      </w:r>
      <w:r w:rsidRPr="00047B74">
        <w:rPr>
          <w:rFonts w:cs="Arial"/>
          <w:b/>
          <w:sz w:val="24"/>
          <w:szCs w:val="24"/>
        </w:rPr>
        <w:tab/>
        <w:t>TD SP-170</w:t>
      </w:r>
      <w:r>
        <w:rPr>
          <w:rFonts w:cs="Arial"/>
          <w:b/>
          <w:sz w:val="24"/>
          <w:szCs w:val="24"/>
        </w:rPr>
        <w:t>848</w:t>
      </w:r>
    </w:p>
    <w:p w:rsidR="00F91CB1" w:rsidRPr="00047B74" w:rsidRDefault="00F91CB1">
      <w:pPr>
        <w:pBdr>
          <w:bottom w:val="single" w:sz="4" w:space="1" w:color="auto"/>
        </w:pBdr>
        <w:tabs>
          <w:tab w:val="right" w:pos="9639"/>
        </w:tabs>
        <w:rPr>
          <w:rFonts w:cs="Arial"/>
          <w:b/>
          <w:sz w:val="24"/>
          <w:szCs w:val="24"/>
        </w:rPr>
      </w:pPr>
      <w:r>
        <w:rPr>
          <w:rFonts w:cs="Arial"/>
          <w:b/>
          <w:sz w:val="24"/>
          <w:szCs w:val="24"/>
        </w:rPr>
        <w:t>20 - 22 December 2017</w:t>
      </w:r>
      <w:r w:rsidRPr="00047B74">
        <w:rPr>
          <w:rFonts w:cs="Arial"/>
          <w:b/>
          <w:sz w:val="24"/>
          <w:szCs w:val="24"/>
        </w:rPr>
        <w:t xml:space="preserve">, </w:t>
      </w:r>
      <w:r>
        <w:rPr>
          <w:rFonts w:cs="Arial"/>
          <w:b/>
          <w:sz w:val="24"/>
          <w:szCs w:val="24"/>
        </w:rPr>
        <w:t>Lisbon, Portugal</w:t>
      </w:r>
    </w:p>
    <w:p w:rsidR="00F91CB1" w:rsidRDefault="00F91CB1" w:rsidP="00BA5A49">
      <w:pPr>
        <w:pStyle w:val="CRCoverPage"/>
        <w:tabs>
          <w:tab w:val="right" w:pos="9639"/>
        </w:tabs>
        <w:spacing w:after="0"/>
        <w:rPr>
          <w:b/>
          <w:noProof/>
          <w:sz w:val="24"/>
        </w:rPr>
      </w:pPr>
    </w:p>
    <w:p w:rsidR="00F91CB1" w:rsidRDefault="00F91CB1" w:rsidP="006977A1">
      <w:pPr>
        <w:pStyle w:val="Header"/>
        <w:tabs>
          <w:tab w:val="right" w:pos="9356"/>
        </w:tabs>
        <w:jc w:val="center"/>
      </w:pPr>
    </w:p>
    <w:p w:rsidR="006977A1" w:rsidRDefault="006977A1" w:rsidP="006977A1">
      <w:pPr>
        <w:pStyle w:val="Header"/>
        <w:tabs>
          <w:tab w:val="right" w:pos="9356"/>
        </w:tabs>
        <w:jc w:val="center"/>
      </w:pPr>
      <w:r>
        <w:rPr>
          <w:noProof/>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6977A1" w:rsidRDefault="006977A1" w:rsidP="006977A1">
      <w:pPr>
        <w:pStyle w:val="Title"/>
        <w:jc w:val="center"/>
      </w:pPr>
      <w:r w:rsidRPr="009D6A6C">
        <w:t xml:space="preserve">Liaison </w:t>
      </w:r>
      <w:r w:rsidRPr="00477CD5">
        <w:t>Statement</w:t>
      </w:r>
    </w:p>
    <w:p w:rsidR="006977A1" w:rsidRDefault="006977A1" w:rsidP="006977A1">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6977A1" w:rsidTr="002B5E2F">
        <w:trPr>
          <w:trHeight w:val="590"/>
          <w:tblHeader/>
        </w:trPr>
        <w:tc>
          <w:tcPr>
            <w:tcW w:w="3337" w:type="dxa"/>
            <w:shd w:val="clear" w:color="auto" w:fill="DE002B"/>
            <w:vAlign w:val="center"/>
          </w:tcPr>
          <w:p w:rsidR="006977A1" w:rsidRPr="0058060A" w:rsidRDefault="006977A1" w:rsidP="002B5E2F">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92590A76F1264BC3A86717ACC6F97A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6977A1" w:rsidRDefault="00DE3E31" w:rsidP="002B5E2F">
                <w:pPr>
                  <w:pStyle w:val="TableText"/>
                </w:pPr>
                <w:r>
                  <w:rPr>
                    <w:rFonts w:hint="eastAsia"/>
                    <w:lang w:val="en-US" w:eastAsia="ja-JP"/>
                  </w:rPr>
                  <w:t>LS reply to ITU-T SG2</w:t>
                </w:r>
                <w:r w:rsidR="006977A1">
                  <w:rPr>
                    <w:rFonts w:hint="eastAsia"/>
                    <w:lang w:val="en-US" w:eastAsia="ja-JP"/>
                  </w:rPr>
                  <w:t xml:space="preserve"> on Evolution of IMSI format and E.212 Recommendation</w:t>
                </w:r>
              </w:p>
            </w:sdtContent>
          </w:sdt>
        </w:tc>
      </w:tr>
    </w:tbl>
    <w:p w:rsidR="006977A1" w:rsidRDefault="006977A1" w:rsidP="006977A1">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6977A1" w:rsidTr="002B5E2F">
        <w:trPr>
          <w:trHeight w:val="130"/>
          <w:tblHeader/>
        </w:trPr>
        <w:tc>
          <w:tcPr>
            <w:tcW w:w="9716" w:type="dxa"/>
            <w:gridSpan w:val="3"/>
            <w:tcBorders>
              <w:top w:val="single" w:sz="6" w:space="0" w:color="auto"/>
              <w:bottom w:val="single" w:sz="6" w:space="0" w:color="auto"/>
            </w:tcBorders>
            <w:shd w:val="clear" w:color="auto" w:fill="DE002B"/>
            <w:vAlign w:val="center"/>
          </w:tcPr>
          <w:p w:rsidR="006977A1" w:rsidRDefault="006977A1" w:rsidP="002B5E2F">
            <w:pPr>
              <w:pStyle w:val="TableHeader"/>
            </w:pPr>
            <w:r>
              <w:t>Source Meeting Information</w:t>
            </w:r>
          </w:p>
        </w:tc>
      </w:tr>
      <w:tr w:rsidR="006977A1" w:rsidTr="002B5E2F">
        <w:tblPrEx>
          <w:tblBorders>
            <w:insideH w:val="single" w:sz="4" w:space="0" w:color="auto"/>
            <w:insideV w:val="single" w:sz="4" w:space="0" w:color="auto"/>
          </w:tblBorders>
          <w:tblLook w:val="0000"/>
        </w:tblPrEx>
        <w:trPr>
          <w:trHeight w:val="419"/>
          <w:tblHeader/>
        </w:trPr>
        <w:tc>
          <w:tcPr>
            <w:tcW w:w="3480" w:type="dxa"/>
            <w:shd w:val="clear" w:color="auto" w:fill="D9D9D9"/>
          </w:tcPr>
          <w:p w:rsidR="006977A1" w:rsidRPr="0058060A" w:rsidRDefault="006977A1" w:rsidP="002B5E2F">
            <w:pPr>
              <w:pStyle w:val="TableText"/>
            </w:pPr>
            <w:r w:rsidRPr="0058060A">
              <w:t>Meeting Number</w:t>
            </w:r>
          </w:p>
        </w:tc>
        <w:tc>
          <w:tcPr>
            <w:tcW w:w="3228" w:type="dxa"/>
            <w:shd w:val="clear" w:color="auto" w:fill="D9D9D9"/>
          </w:tcPr>
          <w:p w:rsidR="006977A1" w:rsidRPr="0058060A" w:rsidRDefault="006977A1" w:rsidP="002B5E2F">
            <w:pPr>
              <w:pStyle w:val="TableText"/>
            </w:pPr>
            <w:r w:rsidRPr="0058060A">
              <w:t>Meeting Date</w:t>
            </w:r>
          </w:p>
        </w:tc>
        <w:tc>
          <w:tcPr>
            <w:tcW w:w="3008" w:type="dxa"/>
            <w:shd w:val="clear" w:color="auto" w:fill="D9D9D9"/>
          </w:tcPr>
          <w:p w:rsidR="006977A1" w:rsidRPr="0058060A" w:rsidRDefault="006977A1" w:rsidP="002B5E2F">
            <w:pPr>
              <w:pStyle w:val="TableText"/>
            </w:pPr>
            <w:r w:rsidRPr="0058060A">
              <w:t>Meeting Location</w:t>
            </w:r>
          </w:p>
        </w:tc>
      </w:tr>
      <w:tr w:rsidR="006977A1" w:rsidTr="002B5E2F">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10713711"/>
              <w:placeholder>
                <w:docPart w:val="0C9F26EB5E254A4EBC0ACB4F75CF1B0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6977A1" w:rsidRPr="008150E1" w:rsidRDefault="006977A1" w:rsidP="002B5E2F">
                <w:pPr>
                  <w:pStyle w:val="CSFieldInfo"/>
                  <w:framePr w:wrap="auto" w:vAnchor="margin" w:hAnchor="text" w:yAlign="inline"/>
                  <w:rPr>
                    <w:rFonts w:eastAsia="SimSun" w:cs="Times New Roman"/>
                    <w:bCs w:val="0"/>
                    <w:sz w:val="22"/>
                    <w:szCs w:val="20"/>
                    <w:lang w:eastAsia="ja-JP" w:bidi="bn-BD"/>
                  </w:rPr>
                </w:pPr>
                <w:r>
                  <w:rPr>
                    <w:rFonts w:hint="eastAsia"/>
                    <w:lang w:eastAsia="ja-JP"/>
                  </w:rPr>
                  <w:t>TG #5</w:t>
                </w:r>
              </w:p>
            </w:sdtContent>
          </w:sdt>
        </w:tc>
        <w:tc>
          <w:tcPr>
            <w:tcW w:w="3228" w:type="dxa"/>
          </w:tcPr>
          <w:sdt>
            <w:sdtPr>
              <w:rPr>
                <w:rFonts w:hint="eastAsia"/>
                <w:lang w:eastAsia="ja-JP"/>
              </w:rPr>
              <w:alias w:val="Meeting Date"/>
              <w:tag w:val="GSMAMeetingDate"/>
              <w:id w:val="615873725"/>
              <w:placeholder>
                <w:docPart w:val="2902718416944565AC60C8B9A9BA762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1-13T00:00:00Z">
                <w:dateFormat w:val="dd/MM/yyyy"/>
                <w:lid w:val="en-GB"/>
                <w:storeMappedDataAs w:val="dateTime"/>
                <w:calendar w:val="gregorian"/>
              </w:date>
            </w:sdtPr>
            <w:sdtContent>
              <w:p w:rsidR="006977A1" w:rsidRPr="008150E1" w:rsidRDefault="006977A1" w:rsidP="002B5E2F">
                <w:pPr>
                  <w:pStyle w:val="CSFieldInfo"/>
                  <w:framePr w:wrap="auto" w:vAnchor="margin" w:hAnchor="text" w:yAlign="inline"/>
                  <w:rPr>
                    <w:rFonts w:eastAsia="SimSun" w:cs="Times New Roman"/>
                    <w:bCs w:val="0"/>
                    <w:sz w:val="22"/>
                    <w:szCs w:val="20"/>
                    <w:lang w:eastAsia="ja-JP" w:bidi="bn-BD"/>
                  </w:rPr>
                </w:pPr>
                <w:r>
                  <w:rPr>
                    <w:lang w:eastAsia="ja-JP"/>
                  </w:rPr>
                  <w:t>13/11/2017</w:t>
                </w:r>
              </w:p>
            </w:sdtContent>
          </w:sdt>
        </w:tc>
        <w:tc>
          <w:tcPr>
            <w:tcW w:w="3008" w:type="dxa"/>
          </w:tcPr>
          <w:sdt>
            <w:sdtPr>
              <w:rPr>
                <w:rFonts w:hint="eastAsia"/>
                <w:lang w:eastAsia="ja-JP"/>
              </w:rPr>
              <w:alias w:val="Meeting Location"/>
              <w:tag w:val="GSMAMeetingLocation"/>
              <w:id w:val="-42449681"/>
              <w:placeholder>
                <w:docPart w:val="76598D5D36CB496CA47C4DE7C90E133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6977A1" w:rsidRDefault="006977A1" w:rsidP="002B5E2F">
                <w:pPr>
                  <w:pStyle w:val="CSFieldInfo"/>
                  <w:framePr w:wrap="auto" w:vAnchor="margin" w:hAnchor="text" w:yAlign="inline"/>
                  <w:rPr>
                    <w:lang w:eastAsia="ja-JP"/>
                  </w:rPr>
                </w:pPr>
                <w:r>
                  <w:rPr>
                    <w:rFonts w:hint="eastAsia"/>
                    <w:lang w:eastAsia="ja-JP"/>
                  </w:rPr>
                  <w:t>Virtual Meeting</w:t>
                </w:r>
              </w:p>
            </w:sdtContent>
          </w:sdt>
        </w:tc>
      </w:tr>
    </w:tbl>
    <w:p w:rsidR="006977A1" w:rsidRDefault="006977A1" w:rsidP="006977A1">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199"/>
        <w:gridCol w:w="2941"/>
        <w:gridCol w:w="3576"/>
      </w:tblGrid>
      <w:tr w:rsidR="006977A1" w:rsidTr="002B5E2F">
        <w:trPr>
          <w:trHeight w:val="190"/>
          <w:tblHeader/>
        </w:trPr>
        <w:tc>
          <w:tcPr>
            <w:tcW w:w="9716" w:type="dxa"/>
            <w:gridSpan w:val="3"/>
            <w:tcBorders>
              <w:top w:val="single" w:sz="6" w:space="0" w:color="auto"/>
              <w:bottom w:val="single" w:sz="6" w:space="0" w:color="auto"/>
            </w:tcBorders>
            <w:shd w:val="clear" w:color="auto" w:fill="DE002B"/>
            <w:vAlign w:val="center"/>
          </w:tcPr>
          <w:p w:rsidR="006977A1" w:rsidRDefault="006977A1" w:rsidP="002B5E2F">
            <w:pPr>
              <w:pStyle w:val="TableHeader"/>
            </w:pPr>
            <w:r>
              <w:t>Document Details</w:t>
            </w:r>
          </w:p>
        </w:tc>
      </w:tr>
      <w:tr w:rsidR="006977A1" w:rsidTr="002B5E2F">
        <w:tblPrEx>
          <w:tblBorders>
            <w:insideH w:val="single" w:sz="4" w:space="0" w:color="auto"/>
            <w:insideV w:val="single" w:sz="4" w:space="0" w:color="auto"/>
          </w:tblBorders>
          <w:tblLook w:val="0000"/>
        </w:tblPrEx>
        <w:trPr>
          <w:tblHeader/>
        </w:trPr>
        <w:tc>
          <w:tcPr>
            <w:tcW w:w="3480" w:type="dxa"/>
            <w:shd w:val="clear" w:color="auto" w:fill="D9D9D9"/>
          </w:tcPr>
          <w:p w:rsidR="006977A1" w:rsidRDefault="006977A1" w:rsidP="002B5E2F">
            <w:pPr>
              <w:pStyle w:val="TableText"/>
            </w:pPr>
            <w:r>
              <w:t>Document Number:</w:t>
            </w:r>
          </w:p>
        </w:tc>
        <w:tc>
          <w:tcPr>
            <w:tcW w:w="3228" w:type="dxa"/>
            <w:shd w:val="clear" w:color="auto" w:fill="D9D9D9"/>
          </w:tcPr>
          <w:p w:rsidR="006977A1" w:rsidRDefault="006977A1" w:rsidP="002B5E2F">
            <w:pPr>
              <w:pStyle w:val="TableText"/>
            </w:pPr>
            <w:r>
              <w:t>Creation Date:</w:t>
            </w:r>
          </w:p>
        </w:tc>
        <w:tc>
          <w:tcPr>
            <w:tcW w:w="3008" w:type="dxa"/>
            <w:shd w:val="clear" w:color="auto" w:fill="D9D9D9"/>
          </w:tcPr>
          <w:p w:rsidR="006977A1" w:rsidRDefault="006977A1" w:rsidP="002B5E2F">
            <w:pPr>
              <w:pStyle w:val="TableText"/>
            </w:pPr>
            <w:r>
              <w:t>Document Author:</w:t>
            </w:r>
          </w:p>
        </w:tc>
      </w:tr>
      <w:tr w:rsidR="006977A1" w:rsidTr="002B5E2F">
        <w:tblPrEx>
          <w:tblBorders>
            <w:insideH w:val="single" w:sz="4" w:space="0" w:color="auto"/>
            <w:insideV w:val="single" w:sz="4" w:space="0" w:color="auto"/>
          </w:tblBorders>
          <w:tblLook w:val="0000"/>
        </w:tblPrEx>
        <w:trPr>
          <w:tblHeader/>
        </w:trPr>
        <w:sdt>
          <w:sdtPr>
            <w:rPr>
              <w:rFonts w:eastAsia="MS Mincho"/>
              <w:lang w:eastAsia="ja-JP"/>
            </w:rPr>
            <w:alias w:val="Meeting Document Number"/>
            <w:tag w:val="GSMAMeetingItemNumber"/>
            <w:id w:val="-79751501"/>
            <w:placeholder>
              <w:docPart w:val="3D2108A0A34548239F1B5DCB0C494F0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rsidR="006977A1" w:rsidRPr="00C201D7" w:rsidRDefault="0047542B" w:rsidP="002B5E2F">
                <w:pPr>
                  <w:pStyle w:val="TableText"/>
                  <w:rPr>
                    <w:rFonts w:eastAsia="MS Mincho"/>
                    <w:lang w:eastAsia="ja-JP"/>
                  </w:rPr>
                </w:pPr>
                <w:r>
                  <w:rPr>
                    <w:rFonts w:eastAsia="MS Mincho"/>
                    <w:lang w:eastAsia="ja-JP"/>
                  </w:rPr>
                  <w:t>TG#5 Doc 012</w:t>
                </w:r>
              </w:p>
            </w:tc>
          </w:sdtContent>
        </w:sdt>
        <w:tc>
          <w:tcPr>
            <w:tcW w:w="3228" w:type="dxa"/>
          </w:tcPr>
          <w:p w:rsidR="006977A1" w:rsidRDefault="00753107" w:rsidP="002B5E2F">
            <w:pPr>
              <w:pStyle w:val="TableText"/>
            </w:pPr>
            <w:sdt>
              <w:sdtPr>
                <w:rPr>
                  <w:rFonts w:hint="eastAsia"/>
                  <w:lang w:eastAsia="ja-JP"/>
                </w:rPr>
                <w:alias w:val="Document Creation Date"/>
                <w:tag w:val="GSMADocumentCreatedDate"/>
                <w:id w:val="-1829277167"/>
                <w:placeholder>
                  <w:docPart w:val="47AFD2FC56CC4A7C97BDA3F15D525A7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1-07T00:00:00Z">
                  <w:dateFormat w:val="yyyy-MM-dd"/>
                  <w:lid w:val="sv-SE"/>
                  <w:storeMappedDataAs w:val="dateTime"/>
                  <w:calendar w:val="gregorian"/>
                </w:date>
              </w:sdtPr>
              <w:sdtContent>
                <w:r w:rsidR="006977A1">
                  <w:rPr>
                    <w:lang w:val="sv-SE" w:eastAsia="ja-JP"/>
                  </w:rPr>
                  <w:t>2017-11-07</w:t>
                </w:r>
              </w:sdtContent>
            </w:sdt>
          </w:p>
        </w:tc>
        <w:tc>
          <w:tcPr>
            <w:tcW w:w="3008" w:type="dxa"/>
          </w:tcPr>
          <w:p w:rsidR="006977A1" w:rsidRPr="00C201D7" w:rsidRDefault="006977A1" w:rsidP="002B5E2F">
            <w:pPr>
              <w:pStyle w:val="TableText"/>
              <w:rPr>
                <w:rFonts w:eastAsia="MS Mincho"/>
                <w:lang w:eastAsia="ja-JP"/>
              </w:rPr>
            </w:pPr>
            <w:r>
              <w:rPr>
                <w:rFonts w:eastAsia="MS Mincho"/>
                <w:lang w:eastAsia="ja-JP"/>
              </w:rPr>
              <w:t>David Hutton (GSMA)</w:t>
            </w:r>
          </w:p>
        </w:tc>
      </w:tr>
      <w:tr w:rsidR="006977A1" w:rsidTr="002B5E2F">
        <w:tblPrEx>
          <w:tblBorders>
            <w:insideH w:val="single" w:sz="4" w:space="0" w:color="auto"/>
            <w:insideV w:val="single" w:sz="4" w:space="0" w:color="auto"/>
          </w:tblBorders>
          <w:tblLook w:val="0000"/>
        </w:tblPrEx>
        <w:trPr>
          <w:tblHeader/>
        </w:trPr>
        <w:tc>
          <w:tcPr>
            <w:tcW w:w="3480" w:type="dxa"/>
            <w:shd w:val="clear" w:color="auto" w:fill="D9D9D9"/>
          </w:tcPr>
          <w:p w:rsidR="006977A1" w:rsidRDefault="006977A1" w:rsidP="002B5E2F">
            <w:pPr>
              <w:pStyle w:val="TableText"/>
            </w:pPr>
            <w:r>
              <w:t>Originating GSMA Source:</w:t>
            </w:r>
          </w:p>
        </w:tc>
        <w:tc>
          <w:tcPr>
            <w:tcW w:w="3228" w:type="dxa"/>
            <w:shd w:val="clear" w:color="auto" w:fill="D9D9D9"/>
          </w:tcPr>
          <w:p w:rsidR="006977A1" w:rsidRDefault="006977A1" w:rsidP="002B5E2F">
            <w:pPr>
              <w:pStyle w:val="TableText"/>
            </w:pPr>
            <w:r>
              <w:t>Deadline for response:</w:t>
            </w:r>
          </w:p>
        </w:tc>
        <w:tc>
          <w:tcPr>
            <w:tcW w:w="3008" w:type="dxa"/>
            <w:shd w:val="clear" w:color="auto" w:fill="D9D9D9"/>
          </w:tcPr>
          <w:p w:rsidR="006977A1" w:rsidRDefault="006977A1" w:rsidP="002B5E2F">
            <w:pPr>
              <w:pStyle w:val="TableText"/>
            </w:pPr>
            <w:r>
              <w:t>Liaison Statement Contact</w:t>
            </w:r>
          </w:p>
        </w:tc>
      </w:tr>
      <w:tr w:rsidR="006977A1" w:rsidTr="002B5E2F">
        <w:tblPrEx>
          <w:tblBorders>
            <w:insideH w:val="single" w:sz="4" w:space="0" w:color="auto"/>
            <w:insideV w:val="single" w:sz="4" w:space="0" w:color="auto"/>
          </w:tblBorders>
          <w:tblLook w:val="0000"/>
        </w:tblPrEx>
        <w:trPr>
          <w:tblHeader/>
        </w:trPr>
        <w:tc>
          <w:tcPr>
            <w:tcW w:w="3480" w:type="dxa"/>
          </w:tcPr>
          <w:p w:rsidR="006977A1" w:rsidRPr="00945411" w:rsidRDefault="006977A1" w:rsidP="002B5E2F">
            <w:pPr>
              <w:pStyle w:val="TableText"/>
              <w:rPr>
                <w:rFonts w:eastAsia="MS Mincho"/>
                <w:lang w:eastAsia="ja-JP"/>
              </w:rPr>
            </w:pPr>
            <w:r w:rsidRPr="00945411">
              <w:rPr>
                <w:rFonts w:eastAsia="MS Mincho"/>
                <w:lang w:eastAsia="ja-JP"/>
              </w:rPr>
              <w:t>Technology Group</w:t>
            </w:r>
          </w:p>
        </w:tc>
        <w:tc>
          <w:tcPr>
            <w:tcW w:w="3228" w:type="dxa"/>
          </w:tcPr>
          <w:p w:rsidR="006977A1" w:rsidRPr="00C201D7" w:rsidRDefault="006977A1" w:rsidP="002B5E2F">
            <w:pPr>
              <w:pStyle w:val="TableText"/>
              <w:rPr>
                <w:rFonts w:eastAsia="MS Mincho"/>
                <w:lang w:eastAsia="ja-JP"/>
              </w:rPr>
            </w:pPr>
            <w:r>
              <w:rPr>
                <w:rFonts w:eastAsia="MS Mincho"/>
                <w:i/>
                <w:lang w:eastAsia="ja-JP"/>
              </w:rPr>
              <w:t>-</w:t>
            </w:r>
          </w:p>
        </w:tc>
        <w:tc>
          <w:tcPr>
            <w:tcW w:w="3008" w:type="dxa"/>
          </w:tcPr>
          <w:p w:rsidR="006977A1" w:rsidRPr="00B21E3A" w:rsidRDefault="00753107" w:rsidP="002B5E2F">
            <w:pPr>
              <w:pStyle w:val="TableText"/>
              <w:rPr>
                <w:rFonts w:eastAsia="MS Mincho"/>
                <w:lang w:eastAsia="ja-JP"/>
              </w:rPr>
            </w:pPr>
            <w:hyperlink r:id="rId8" w:history="1">
              <w:r w:rsidR="006977A1" w:rsidRPr="009273E4">
                <w:rPr>
                  <w:rStyle w:val="Hyperlink"/>
                  <w:rFonts w:eastAsia="MS Mincho"/>
                  <w:lang w:eastAsia="ja-JP"/>
                </w:rPr>
                <w:t>GSMALiaisonStatements@gsma.com</w:t>
              </w:r>
            </w:hyperlink>
            <w:r w:rsidR="006977A1">
              <w:rPr>
                <w:rFonts w:eastAsia="MS Mincho"/>
                <w:lang w:eastAsia="ja-JP"/>
              </w:rPr>
              <w:t xml:space="preserve"> </w:t>
            </w:r>
          </w:p>
        </w:tc>
      </w:tr>
      <w:tr w:rsidR="006977A1" w:rsidTr="002B5E2F">
        <w:tblPrEx>
          <w:tblBorders>
            <w:insideH w:val="single" w:sz="4" w:space="0" w:color="auto"/>
            <w:insideV w:val="single" w:sz="4" w:space="0" w:color="auto"/>
          </w:tblBorders>
          <w:tblLook w:val="0000"/>
        </w:tblPrEx>
        <w:trPr>
          <w:tblHeader/>
        </w:trPr>
        <w:tc>
          <w:tcPr>
            <w:tcW w:w="3480" w:type="dxa"/>
            <w:shd w:val="clear" w:color="auto" w:fill="D9D9D9"/>
          </w:tcPr>
          <w:p w:rsidR="006977A1" w:rsidRDefault="006977A1" w:rsidP="002B5E2F">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5F499F508712418AA1E7B440C104C09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rsidR="006977A1" w:rsidRPr="00C201D7" w:rsidRDefault="006977A1" w:rsidP="002B5E2F">
                <w:pPr>
                  <w:pStyle w:val="TableText"/>
                  <w:rPr>
                    <w:rFonts w:eastAsia="MS Mincho"/>
                    <w:lang w:eastAsia="ja-JP"/>
                  </w:rPr>
                </w:pPr>
                <w:r>
                  <w:rPr>
                    <w:rFonts w:eastAsia="MS Mincho" w:hint="eastAsia"/>
                    <w:lang w:val="en-US" w:eastAsia="ja-JP"/>
                  </w:rPr>
                  <w:t>Non-confidential</w:t>
                </w:r>
              </w:p>
            </w:sdtContent>
          </w:sdt>
        </w:tc>
      </w:tr>
    </w:tbl>
    <w:p w:rsidR="006977A1" w:rsidRDefault="006977A1" w:rsidP="006977A1">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6977A1" w:rsidTr="002B5E2F">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6977A1" w:rsidRDefault="006977A1" w:rsidP="002B5E2F">
            <w:pPr>
              <w:pStyle w:val="TableHeader"/>
            </w:pPr>
            <w:r>
              <w:t>Action Required by Recipient</w:t>
            </w:r>
          </w:p>
        </w:tc>
      </w:tr>
      <w:tr w:rsidR="006977A1" w:rsidTr="002B5E2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6977A1" w:rsidRDefault="006977A1" w:rsidP="002B5E2F">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6977A1" w:rsidRPr="00C201D7" w:rsidRDefault="006977A1" w:rsidP="002B5E2F">
            <w:pPr>
              <w:pStyle w:val="TableText"/>
              <w:rPr>
                <w:rFonts w:eastAsia="MS Mincho"/>
                <w:lang w:eastAsia="ja-JP"/>
              </w:rPr>
            </w:pPr>
            <w:r>
              <w:rPr>
                <w:rFonts w:eastAsia="MS Mincho"/>
                <w:lang w:eastAsia="ja-JP"/>
              </w:rPr>
              <w:t>FASG, WAS, NG, SIM, IDS</w:t>
            </w:r>
            <w:r w:rsidR="001D06C7">
              <w:rPr>
                <w:rFonts w:eastAsia="MS Mincho"/>
                <w:lang w:eastAsia="ja-JP"/>
              </w:rPr>
              <w:t>, TSG</w:t>
            </w:r>
          </w:p>
        </w:tc>
      </w:tr>
      <w:tr w:rsidR="006977A1" w:rsidTr="002B5E2F">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6977A1" w:rsidRDefault="006977A1" w:rsidP="002B5E2F">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6977A1" w:rsidRDefault="006977A1" w:rsidP="002B5E2F">
            <w:pPr>
              <w:pStyle w:val="TableText"/>
              <w:rPr>
                <w:rFonts w:eastAsia="MS Mincho"/>
                <w:lang w:eastAsia="ja-JP"/>
              </w:rPr>
            </w:pPr>
            <w:r>
              <w:rPr>
                <w:rFonts w:eastAsia="MS Mincho"/>
                <w:lang w:eastAsia="ja-JP"/>
              </w:rPr>
              <w:t>To:  ITU-T SG2, 3GPP, WBA</w:t>
            </w:r>
          </w:p>
          <w:p w:rsidR="006977A1" w:rsidRPr="00C201D7" w:rsidRDefault="006977A1" w:rsidP="002B5E2F">
            <w:pPr>
              <w:pStyle w:val="TableText"/>
              <w:rPr>
                <w:rFonts w:eastAsia="MS Mincho"/>
                <w:lang w:eastAsia="ja-JP"/>
              </w:rPr>
            </w:pPr>
            <w:r>
              <w:rPr>
                <w:rFonts w:eastAsia="MS Mincho"/>
                <w:lang w:eastAsia="ja-JP"/>
              </w:rPr>
              <w:t>Cc:  ITU-T SG20, SG13, SG3</w:t>
            </w:r>
          </w:p>
        </w:tc>
      </w:tr>
    </w:tbl>
    <w:p w:rsidR="006977A1" w:rsidRDefault="006977A1" w:rsidP="006977A1">
      <w:pPr>
        <w:pStyle w:val="NormalParagraph"/>
        <w:rPr>
          <w:lang w:val="en-IE"/>
        </w:rPr>
      </w:pPr>
    </w:p>
    <w:p w:rsidR="005454EA" w:rsidRDefault="005454EA">
      <w:pPr>
        <w:spacing w:before="0" w:after="160" w:line="259" w:lineRule="auto"/>
        <w:jc w:val="left"/>
        <w:rPr>
          <w:rFonts w:eastAsia="MS Mincho" w:cs="Arial"/>
          <w:b/>
          <w:bCs/>
          <w:sz w:val="28"/>
          <w:szCs w:val="32"/>
          <w:lang w:eastAsia="en-US"/>
        </w:rPr>
      </w:pPr>
      <w:r>
        <w:br w:type="page"/>
      </w:r>
    </w:p>
    <w:p w:rsidR="006977A1" w:rsidRDefault="006977A1" w:rsidP="006977A1">
      <w:pPr>
        <w:pStyle w:val="Heading1"/>
      </w:pPr>
      <w:r>
        <w:lastRenderedPageBreak/>
        <w:t>Introduction</w:t>
      </w:r>
    </w:p>
    <w:p w:rsidR="006977A1" w:rsidRDefault="006977A1" w:rsidP="006977A1">
      <w:pPr>
        <w:pStyle w:val="NormalParagraph"/>
        <w:rPr>
          <w:rFonts w:eastAsia="MS Mincho"/>
          <w:lang w:eastAsia="ja-JP"/>
        </w:rPr>
      </w:pPr>
      <w:r>
        <w:rPr>
          <w:rFonts w:eastAsia="MS Mincho"/>
          <w:lang w:eastAsia="ja-JP"/>
        </w:rPr>
        <w:t xml:space="preserve">GSMA would like to thank ITU-T SG2 for the LS on </w:t>
      </w:r>
      <w:r w:rsidRPr="000F4BC8">
        <w:rPr>
          <w:rFonts w:eastAsia="MS Mincho"/>
          <w:lang w:eastAsia="ja-JP"/>
        </w:rPr>
        <w:t>Evolution of IMSI format and E.212 Recommendation</w:t>
      </w:r>
      <w:r>
        <w:rPr>
          <w:rFonts w:eastAsia="MS Mincho"/>
          <w:lang w:eastAsia="ja-JP"/>
        </w:rPr>
        <w:t xml:space="preserve">.  The LS has been discussed within a number of GSMA working groups and this LS provides </w:t>
      </w:r>
      <w:r w:rsidR="003E36AA">
        <w:rPr>
          <w:rFonts w:eastAsia="MS Mincho"/>
          <w:lang w:eastAsia="ja-JP"/>
        </w:rPr>
        <w:t>the</w:t>
      </w:r>
      <w:r>
        <w:rPr>
          <w:rFonts w:eastAsia="MS Mincho"/>
          <w:lang w:eastAsia="ja-JP"/>
        </w:rPr>
        <w:t xml:space="preserve"> combined feedback.</w:t>
      </w:r>
    </w:p>
    <w:p w:rsidR="006977A1" w:rsidRDefault="006977A1" w:rsidP="006977A1">
      <w:pPr>
        <w:pStyle w:val="NormalParagraph"/>
        <w:rPr>
          <w:rFonts w:eastAsia="MS Mincho"/>
          <w:lang w:eastAsia="ja-JP"/>
        </w:rPr>
      </w:pPr>
      <w:r w:rsidRPr="003B2DD2">
        <w:rPr>
          <w:rFonts w:eastAsia="MS Mincho"/>
          <w:lang w:eastAsia="ja-JP"/>
        </w:rPr>
        <w:t>Ref: “LS on Evolution of IMSI format and E.212 Recommendation” (ITU-T sp16-sg2-oLS-00027 equivalent to SG2-TD197/GEN, July 2017); a synopsis of the ITU-T LS is excerpted verbatim in the remainder of this section.</w:t>
      </w:r>
    </w:p>
    <w:p w:rsidR="006977A1" w:rsidRDefault="006977A1" w:rsidP="006977A1">
      <w:pPr>
        <w:rPr>
          <w:szCs w:val="22"/>
        </w:rPr>
      </w:pPr>
      <w:r>
        <w:rPr>
          <w:noProof/>
          <w:lang w:eastAsia="en-GB" w:bidi="ar-SA"/>
        </w:rPr>
        <w:drawing>
          <wp:inline distT="0" distB="0" distL="0" distR="0">
            <wp:extent cx="5694680" cy="1476550"/>
            <wp:effectExtent l="0" t="0" r="1270" b="9525"/>
            <wp:docPr id="11" name="Picture 10" descr="Y:\APP\TSB_DESSINS\DESSINS\AAP\E\E.212-2016\E.212(16)_F01.png"/>
            <wp:cNvGraphicFramePr/>
            <a:graphic xmlns:a="http://schemas.openxmlformats.org/drawingml/2006/main">
              <a:graphicData uri="http://schemas.openxmlformats.org/drawingml/2006/picture">
                <pic:pic xmlns:pic="http://schemas.openxmlformats.org/drawingml/2006/picture">
                  <pic:nvPicPr>
                    <pic:cNvPr id="11" name="Picture 10" descr="Y:\APP\TSB_DESSINS\DESSINS\AAP\E\E.212-2016\E.212(16)_F01.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94680" cy="1476550"/>
                    </a:xfrm>
                    <a:prstGeom prst="rect">
                      <a:avLst/>
                    </a:prstGeom>
                    <a:noFill/>
                    <a:ln>
                      <a:noFill/>
                    </a:ln>
                  </pic:spPr>
                </pic:pic>
              </a:graphicData>
            </a:graphic>
          </wp:inline>
        </w:drawing>
      </w:r>
      <w:r w:rsidRPr="003B2DD2">
        <w:rPr>
          <w:szCs w:val="22"/>
        </w:rPr>
        <w:t xml:space="preserve"> </w:t>
      </w:r>
    </w:p>
    <w:p w:rsidR="006977A1" w:rsidRDefault="006977A1" w:rsidP="006977A1">
      <w:pPr>
        <w:pStyle w:val="NormalParagraph"/>
        <w:rPr>
          <w:rFonts w:eastAsia="MS Mincho"/>
          <w:lang w:eastAsia="ja-JP"/>
        </w:rPr>
      </w:pPr>
    </w:p>
    <w:p w:rsidR="006977A1" w:rsidRPr="002A290C" w:rsidRDefault="006977A1" w:rsidP="006977A1">
      <w:pPr>
        <w:pStyle w:val="NormalParagraph"/>
        <w:rPr>
          <w:rFonts w:eastAsia="MS Mincho"/>
          <w:i/>
          <w:lang w:eastAsia="ja-JP"/>
        </w:rPr>
      </w:pPr>
      <w:r w:rsidRPr="002A290C">
        <w:rPr>
          <w:rFonts w:eastAsia="MS Mincho"/>
          <w:i/>
          <w:lang w:eastAsia="ja-JP"/>
        </w:rPr>
        <w:t xml:space="preserve">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w:t>
      </w:r>
      <w:proofErr w:type="spellStart"/>
      <w:r w:rsidRPr="002A290C">
        <w:rPr>
          <w:rFonts w:eastAsia="MS Mincho"/>
          <w:i/>
          <w:lang w:eastAsia="ja-JP"/>
        </w:rPr>
        <w:t>IoT</w:t>
      </w:r>
      <w:proofErr w:type="spellEnd"/>
      <w:r w:rsidRPr="002A290C">
        <w:rPr>
          <w:rFonts w:eastAsia="MS Mincho"/>
          <w:i/>
          <w:lang w:eastAsia="ja-JP"/>
        </w:rPr>
        <w:t xml:space="preserve">/MTC/M2M type communications) may result from requirements relative to 5G networks or other new use cases relative to IMSIs. </w:t>
      </w:r>
    </w:p>
    <w:p w:rsidR="006977A1" w:rsidRPr="002A290C" w:rsidRDefault="006977A1" w:rsidP="006977A1">
      <w:pPr>
        <w:pStyle w:val="NormalParagraph"/>
        <w:rPr>
          <w:rFonts w:eastAsia="MS Mincho"/>
          <w:i/>
          <w:lang w:eastAsia="ja-JP"/>
        </w:rPr>
      </w:pPr>
      <w:r w:rsidRPr="002A290C">
        <w:rPr>
          <w:rFonts w:eastAsia="MS Mincho"/>
          <w:i/>
          <w:lang w:eastAsia="ja-JP"/>
        </w:rPr>
        <w:t>Faced with an increase of demand for IMSIs, the following options were identified:</w:t>
      </w:r>
    </w:p>
    <w:p w:rsidR="006977A1" w:rsidRPr="002A290C" w:rsidRDefault="006977A1" w:rsidP="006977A1">
      <w:pPr>
        <w:pStyle w:val="ListBullet1"/>
        <w:rPr>
          <w:i/>
        </w:rPr>
      </w:pPr>
      <w:r w:rsidRPr="002A290C">
        <w:rPr>
          <w:i/>
        </w:rPr>
        <w:t xml:space="preserve">Option 1 - </w:t>
      </w:r>
      <w:r w:rsidRPr="002A290C">
        <w:rPr>
          <w:b/>
          <w:i/>
        </w:rPr>
        <w:t>No change</w:t>
      </w:r>
      <w:r w:rsidRPr="002A290C">
        <w:rPr>
          <w:i/>
        </w:rPr>
        <w:t xml:space="preserve"> – Keep the current format of MCC, MNC and MSIN and address the new demands with assignments of new MNCs or MCCs and changes to assignment or management practices  </w:t>
      </w:r>
    </w:p>
    <w:p w:rsidR="006977A1" w:rsidRPr="002A290C" w:rsidRDefault="006977A1" w:rsidP="006977A1">
      <w:pPr>
        <w:pStyle w:val="ListBullet1"/>
        <w:rPr>
          <w:i/>
        </w:rPr>
      </w:pPr>
      <w:r w:rsidRPr="002A290C">
        <w:rPr>
          <w:i/>
        </w:rPr>
        <w:t xml:space="preserve">Option 2 - </w:t>
      </w:r>
      <w:r w:rsidRPr="002A290C">
        <w:rPr>
          <w:b/>
          <w:i/>
        </w:rPr>
        <w:t>Format extension</w:t>
      </w:r>
      <w:r w:rsidRPr="002A290C">
        <w:rPr>
          <w:i/>
        </w:rPr>
        <w:t xml:space="preserve"> – extend the IMSIs i.e. assess the extent of the demand and adapt the MSIN or the MNC formats   </w:t>
      </w:r>
    </w:p>
    <w:p w:rsidR="006977A1" w:rsidRPr="002A290C" w:rsidRDefault="006977A1" w:rsidP="006977A1">
      <w:pPr>
        <w:pStyle w:val="ListBullet1"/>
        <w:rPr>
          <w:i/>
        </w:rPr>
      </w:pPr>
      <w:r w:rsidRPr="002A290C">
        <w:rPr>
          <w:i/>
        </w:rPr>
        <w:t xml:space="preserve">Option 3 – </w:t>
      </w:r>
      <w:r w:rsidRPr="002A290C">
        <w:rPr>
          <w:b/>
          <w:i/>
        </w:rPr>
        <w:t>Use of schemes that may not be backward compatible</w:t>
      </w:r>
      <w:r w:rsidRPr="002A290C">
        <w:rPr>
          <w:i/>
        </w:rPr>
        <w:t xml:space="preserve"> – keep IMSIs only for legacy services and use “something else” for new services</w:t>
      </w:r>
    </w:p>
    <w:p w:rsidR="006977A1" w:rsidRPr="002A290C" w:rsidRDefault="006977A1" w:rsidP="006977A1">
      <w:pPr>
        <w:pStyle w:val="ListBullet1"/>
        <w:rPr>
          <w:i/>
        </w:rPr>
      </w:pPr>
      <w:r w:rsidRPr="002A290C">
        <w:rPr>
          <w:i/>
        </w:rPr>
        <w:t xml:space="preserve">Option 4 – </w:t>
      </w:r>
      <w:r w:rsidRPr="002A290C">
        <w:rPr>
          <w:b/>
          <w:i/>
        </w:rPr>
        <w:t>Change in encoding</w:t>
      </w:r>
      <w:r w:rsidRPr="002A290C">
        <w:rPr>
          <w:i/>
        </w:rPr>
        <w:t xml:space="preserve"> – keep the current format, but allow for hexadecimal encoding (0-9, A-F)</w:t>
      </w:r>
    </w:p>
    <w:p w:rsidR="006977A1" w:rsidRDefault="006977A1" w:rsidP="006977A1">
      <w:pPr>
        <w:pStyle w:val="Heading1"/>
      </w:pPr>
      <w:r>
        <w:t>Discussion</w:t>
      </w:r>
    </w:p>
    <w:p w:rsidR="006977A1" w:rsidRDefault="006977A1" w:rsidP="006977A1">
      <w:pPr>
        <w:pStyle w:val="NormalParagraph"/>
        <w:rPr>
          <w:lang w:eastAsia="en-US" w:bidi="bn-BD"/>
        </w:rPr>
      </w:pPr>
      <w:r>
        <w:rPr>
          <w:lang w:eastAsia="en-US" w:bidi="bn-BD"/>
        </w:rPr>
        <w:t xml:space="preserve">All options that have been identified by ITU-T have been reviewed and GSMA recommends </w:t>
      </w:r>
      <w:r w:rsidR="003E36AA">
        <w:rPr>
          <w:lang w:eastAsia="en-US" w:bidi="bn-BD"/>
        </w:rPr>
        <w:t>“</w:t>
      </w:r>
      <w:r>
        <w:rPr>
          <w:lang w:eastAsia="en-US" w:bidi="bn-BD"/>
        </w:rPr>
        <w:t>Option 1 – keep the existing IMSI format with no change</w:t>
      </w:r>
      <w:r w:rsidR="003E36AA">
        <w:rPr>
          <w:lang w:eastAsia="en-US" w:bidi="bn-BD"/>
        </w:rPr>
        <w:t>” due to the following analysis:</w:t>
      </w:r>
    </w:p>
    <w:p w:rsidR="006977A1" w:rsidRDefault="006977A1" w:rsidP="006977A1">
      <w:pPr>
        <w:pStyle w:val="ListBullet1"/>
      </w:pPr>
      <w:r>
        <w:t>Option 1 affirms the number of unassigned MCCs and the total reserve capacity of over 980 Trillion IMSIs</w:t>
      </w:r>
      <w:r w:rsidR="003E36AA">
        <w:t>;</w:t>
      </w:r>
      <w:r>
        <w:t xml:space="preserve"> represented by unused MCCs in conjunction with unassigned MNCs within the MCCs.</w:t>
      </w:r>
    </w:p>
    <w:p w:rsidR="00BD2F6E" w:rsidRDefault="00BD2F6E" w:rsidP="00BD2F6E">
      <w:pPr>
        <w:pStyle w:val="ListBullet1"/>
      </w:pPr>
      <w:r>
        <w:t xml:space="preserve">Continuation of the disciplined control of the assignment policy applied by ITU on MCC allocation and by local administrators on MNC allocation will conserve the </w:t>
      </w:r>
      <w:r w:rsidR="00122B09">
        <w:t xml:space="preserve">available </w:t>
      </w:r>
      <w:r>
        <w:t>IMSI numbering space and provide adequate warning before the need arises to consider the implementation of new formats</w:t>
      </w:r>
      <w:r w:rsidR="00122B09">
        <w:t>.</w:t>
      </w:r>
    </w:p>
    <w:p w:rsidR="006977A1" w:rsidRDefault="00122B09" w:rsidP="006977A1">
      <w:pPr>
        <w:pStyle w:val="ListBullet1"/>
      </w:pPr>
      <w:r>
        <w:lastRenderedPageBreak/>
        <w:t>T</w:t>
      </w:r>
      <w:r w:rsidR="006977A1">
        <w:t xml:space="preserve">he introduction of Remote SIM Provisioning (RSP) </w:t>
      </w:r>
      <w:r>
        <w:t xml:space="preserve">will allow </w:t>
      </w:r>
      <w:r w:rsidR="006977A1">
        <w:t xml:space="preserve">MNOs to manage </w:t>
      </w:r>
      <w:r>
        <w:t xml:space="preserve">IMSI’s </w:t>
      </w:r>
      <w:r w:rsidR="006977A1">
        <w:t xml:space="preserve">in a more efficient way and </w:t>
      </w:r>
      <w:r>
        <w:t>allow IMSI reallocation</w:t>
      </w:r>
      <w:r w:rsidR="006977A1">
        <w:t xml:space="preserve"> </w:t>
      </w:r>
      <w:r>
        <w:t>in a secure manner</w:t>
      </w:r>
      <w:r w:rsidR="006977A1">
        <w:t>.</w:t>
      </w:r>
    </w:p>
    <w:p w:rsidR="006977A1" w:rsidRDefault="006977A1" w:rsidP="006977A1">
      <w:pPr>
        <w:pStyle w:val="ListBullet1"/>
      </w:pPr>
      <w:r>
        <w:t xml:space="preserve">The most prevalent market forecast of </w:t>
      </w:r>
      <w:proofErr w:type="spellStart"/>
      <w:r>
        <w:t>IoT</w:t>
      </w:r>
      <w:proofErr w:type="spellEnd"/>
      <w:r>
        <w:t xml:space="preserve">/M2M indicates a range of 25 to 50 Billion connected devices and smart things/objects. Option 1 as the status quo can easily handle this market demand </w:t>
      </w:r>
      <w:r w:rsidR="003E36AA">
        <w:t xml:space="preserve">usage </w:t>
      </w:r>
      <w:r>
        <w:t>of IMSIs with orders of magnitude in reserve.</w:t>
      </w:r>
    </w:p>
    <w:p w:rsidR="006977A1" w:rsidRDefault="006977A1" w:rsidP="006977A1">
      <w:pPr>
        <w:pStyle w:val="NormalParagraph"/>
        <w:rPr>
          <w:lang w:eastAsia="en-US" w:bidi="bn-BD"/>
        </w:rPr>
      </w:pPr>
      <w:r>
        <w:rPr>
          <w:lang w:eastAsia="en-US" w:bidi="bn-BD"/>
        </w:rPr>
        <w:tab/>
      </w:r>
    </w:p>
    <w:p w:rsidR="006977A1" w:rsidRPr="00727C87" w:rsidRDefault="006977A1" w:rsidP="006977A1">
      <w:pPr>
        <w:pStyle w:val="NormalParagraph"/>
        <w:rPr>
          <w:rFonts w:eastAsia="MS Mincho"/>
          <w:lang w:eastAsia="ja-JP"/>
        </w:rPr>
      </w:pPr>
      <w:r w:rsidRPr="00B60321">
        <w:rPr>
          <w:rFonts w:eastAsia="MS Mincho"/>
          <w:lang w:eastAsia="ja-JP"/>
        </w:rPr>
        <w:t xml:space="preserve">Option 2/3/4 could have a number of significant impacts on provisioning, data storage and protocol standards and would potentially have far </w:t>
      </w:r>
      <w:r>
        <w:rPr>
          <w:rFonts w:eastAsia="MS Mincho"/>
          <w:lang w:eastAsia="ja-JP"/>
        </w:rPr>
        <w:t xml:space="preserve">reaching impacts on the network, </w:t>
      </w:r>
      <w:r w:rsidRPr="00B60321">
        <w:rPr>
          <w:rFonts w:eastAsia="MS Mincho"/>
          <w:lang w:eastAsia="ja-JP"/>
        </w:rPr>
        <w:t>supplier equipment</w:t>
      </w:r>
      <w:r>
        <w:rPr>
          <w:rFonts w:eastAsia="MS Mincho"/>
          <w:lang w:eastAsia="ja-JP"/>
        </w:rPr>
        <w:t xml:space="preserve"> and implementation/deployment costs.  </w:t>
      </w:r>
      <w:r w:rsidRPr="00727C87">
        <w:rPr>
          <w:rFonts w:eastAsia="MS Mincho"/>
          <w:lang w:eastAsia="ja-JP"/>
        </w:rPr>
        <w:t xml:space="preserve">The following is a non-exhaustive list of network elements and device/UICC affected by OPTIONS 2 to 4. </w:t>
      </w:r>
    </w:p>
    <w:p w:rsidR="006977A1" w:rsidRPr="00727C87" w:rsidRDefault="006977A1" w:rsidP="006977A1">
      <w:pPr>
        <w:pStyle w:val="ListBullet1"/>
      </w:pPr>
      <w:r w:rsidRPr="00727C87">
        <w:t>SIM/</w:t>
      </w:r>
      <w:proofErr w:type="spellStart"/>
      <w:r w:rsidRPr="00727C87">
        <w:t>eSIM</w:t>
      </w:r>
      <w:proofErr w:type="spellEnd"/>
      <w:r w:rsidRPr="00727C87">
        <w:t>, UICC/</w:t>
      </w:r>
      <w:proofErr w:type="spellStart"/>
      <w:r w:rsidRPr="00727C87">
        <w:t>eUICC</w:t>
      </w:r>
      <w:proofErr w:type="spellEnd"/>
      <w:r w:rsidRPr="00727C87">
        <w:t>, SIM Lock, APN settings, enable/disable feature settings</w:t>
      </w:r>
    </w:p>
    <w:p w:rsidR="006977A1" w:rsidRPr="00727C87" w:rsidRDefault="006977A1" w:rsidP="006977A1">
      <w:pPr>
        <w:pStyle w:val="ListBullet1"/>
      </w:pPr>
      <w:r w:rsidRPr="00727C87">
        <w:t>Device, customer care and logistical support.</w:t>
      </w:r>
    </w:p>
    <w:p w:rsidR="006977A1" w:rsidRPr="00727C87" w:rsidRDefault="006977A1" w:rsidP="006977A1">
      <w:pPr>
        <w:pStyle w:val="ListBullet1"/>
      </w:pPr>
      <w:r w:rsidRPr="00727C87">
        <w:t>Provisioning, billing and supply chain management (SCM).</w:t>
      </w:r>
    </w:p>
    <w:p w:rsidR="006977A1" w:rsidRPr="00727C87" w:rsidRDefault="006977A1" w:rsidP="006977A1">
      <w:pPr>
        <w:pStyle w:val="ListBullet1"/>
      </w:pPr>
      <w:r w:rsidRPr="00727C87">
        <w:t>Routing and Roaming (MME/SGSN/MSC), IMSI ranges provisioning, Roaming Zone restrictions, Location Area restrictions and Tracking Area restrictions.</w:t>
      </w:r>
    </w:p>
    <w:p w:rsidR="006977A1" w:rsidRPr="00727C87" w:rsidRDefault="006977A1" w:rsidP="006977A1">
      <w:pPr>
        <w:pStyle w:val="ListBullet1"/>
      </w:pPr>
      <w:r w:rsidRPr="00727C87">
        <w:t>Corresponding update of Rec. E.118 for ICCID Issuer Identification Number.</w:t>
      </w:r>
    </w:p>
    <w:p w:rsidR="006977A1" w:rsidRPr="00727C87" w:rsidRDefault="006977A1" w:rsidP="006977A1">
      <w:pPr>
        <w:pStyle w:val="ListBullet1"/>
      </w:pPr>
      <w:r w:rsidRPr="00727C87">
        <w:t>Regressive Testing is required for all changes in the network and devices.</w:t>
      </w:r>
    </w:p>
    <w:p w:rsidR="006977A1" w:rsidRDefault="006977A1" w:rsidP="006977A1">
      <w:pPr>
        <w:pStyle w:val="NormalParagraph"/>
        <w:rPr>
          <w:rFonts w:eastAsia="MS Mincho"/>
          <w:lang w:eastAsia="ja-JP"/>
        </w:rPr>
      </w:pPr>
      <w:r>
        <w:rPr>
          <w:rFonts w:eastAsia="MS Mincho"/>
          <w:lang w:eastAsia="ja-JP"/>
        </w:rPr>
        <w:t>Further detailed analysis is shown in Annex A.</w:t>
      </w:r>
    </w:p>
    <w:p w:rsidR="006977A1" w:rsidRDefault="009001B7" w:rsidP="006977A1">
      <w:r>
        <w:t>I</w:t>
      </w:r>
      <w:r w:rsidRPr="00E369A8">
        <w:t>f</w:t>
      </w:r>
      <w:r>
        <w:t xml:space="preserve"> in the future the </w:t>
      </w:r>
      <w:r w:rsidRPr="00E369A8">
        <w:t xml:space="preserve">actual </w:t>
      </w:r>
      <w:proofErr w:type="spellStart"/>
      <w:r w:rsidRPr="00E369A8">
        <w:t>IoT</w:t>
      </w:r>
      <w:proofErr w:type="spellEnd"/>
      <w:r w:rsidRPr="00E369A8">
        <w:t>/M2M market demand for i</w:t>
      </w:r>
      <w:r w:rsidRPr="00727C87">
        <w:t>ncreased use of IMSIs suggest</w:t>
      </w:r>
      <w:r>
        <w:t>s</w:t>
      </w:r>
      <w:r w:rsidRPr="00727C87">
        <w:t xml:space="preserve"> that exhaustion of the </w:t>
      </w:r>
      <w:r>
        <w:t xml:space="preserve">global </w:t>
      </w:r>
      <w:r w:rsidRPr="00727C87">
        <w:t>IMSI numbering re</w:t>
      </w:r>
      <w:r>
        <w:t xml:space="preserve">serve is under credible threat, GSMA recommend that a </w:t>
      </w:r>
      <w:r w:rsidRPr="00727C87">
        <w:t>comprehensive impact study for the 3GPP systems</w:t>
      </w:r>
      <w:r>
        <w:t xml:space="preserve"> would need to</w:t>
      </w:r>
      <w:r w:rsidRPr="00727C87">
        <w:t xml:space="preserve"> </w:t>
      </w:r>
      <w:r>
        <w:t>be performed</w:t>
      </w:r>
      <w:r w:rsidR="006977A1">
        <w:t xml:space="preserve">.  Although </w:t>
      </w:r>
      <w:r>
        <w:t xml:space="preserve">due to the scale of this task, </w:t>
      </w:r>
      <w:r w:rsidR="006977A1">
        <w:t>care should be taken that this would divert resources from their scheduled work.</w:t>
      </w:r>
    </w:p>
    <w:p w:rsidR="006977A1" w:rsidRDefault="006977A1" w:rsidP="006977A1"/>
    <w:p w:rsidR="006977A1" w:rsidRDefault="006977A1" w:rsidP="006977A1">
      <w:pPr>
        <w:pStyle w:val="Heading1"/>
      </w:pPr>
      <w:r>
        <w:t xml:space="preserve">Actions </w:t>
      </w:r>
    </w:p>
    <w:p w:rsidR="006977A1" w:rsidRPr="00652D16" w:rsidRDefault="006977A1" w:rsidP="006977A1">
      <w:pPr>
        <w:pStyle w:val="NormalParagraph"/>
        <w:rPr>
          <w:b/>
          <w:lang w:eastAsia="en-US" w:bidi="bn-BD"/>
        </w:rPr>
      </w:pPr>
      <w:r w:rsidRPr="00652D16">
        <w:rPr>
          <w:b/>
          <w:lang w:eastAsia="en-US" w:bidi="bn-BD"/>
        </w:rPr>
        <w:t>GSMA kindly request ITU-T SG2 to:</w:t>
      </w:r>
    </w:p>
    <w:p w:rsidR="006977A1" w:rsidRDefault="006977A1" w:rsidP="006977A1">
      <w:pPr>
        <w:pStyle w:val="ListBullet1"/>
      </w:pPr>
      <w:r>
        <w:t xml:space="preserve">Take into account GSMA’s recommendation for Option 1 - </w:t>
      </w:r>
      <w:r w:rsidRPr="00E940DE">
        <w:t>Keep the current format of MCC, MNC and MSIN and address the new demands with assignments of new MNCs or MCCs and changes to assignment or management practices</w:t>
      </w:r>
      <w:r>
        <w:t>.</w:t>
      </w:r>
    </w:p>
    <w:p w:rsidR="006977A1" w:rsidRDefault="006977A1" w:rsidP="006977A1">
      <w:pPr>
        <w:pStyle w:val="ListBullet1"/>
      </w:pPr>
      <w:r>
        <w:t>I</w:t>
      </w:r>
      <w:r w:rsidRPr="00E369A8">
        <w:t>f</w:t>
      </w:r>
      <w:r>
        <w:t xml:space="preserve"> in the future the </w:t>
      </w:r>
      <w:r w:rsidRPr="00E369A8">
        <w:t xml:space="preserve">actual </w:t>
      </w:r>
      <w:proofErr w:type="spellStart"/>
      <w:r w:rsidRPr="00E369A8">
        <w:t>IoT</w:t>
      </w:r>
      <w:proofErr w:type="spellEnd"/>
      <w:r w:rsidRPr="00E369A8">
        <w:t>/M2M market demand for i</w:t>
      </w:r>
      <w:r w:rsidRPr="00727C87">
        <w:t>ncreased use of IMSIs suggest</w:t>
      </w:r>
      <w:r w:rsidR="009001B7">
        <w:t>s</w:t>
      </w:r>
      <w:r w:rsidRPr="00727C87">
        <w:t xml:space="preserve"> that exhaustion of the </w:t>
      </w:r>
      <w:r w:rsidR="009001B7">
        <w:t xml:space="preserve">global </w:t>
      </w:r>
      <w:r w:rsidRPr="00727C87">
        <w:t>IMSI numbering re</w:t>
      </w:r>
      <w:r>
        <w:t xml:space="preserve">serve is under credible threat, GSMA recommend that a </w:t>
      </w:r>
      <w:r w:rsidRPr="00727C87">
        <w:t>comprehensive impact study for the 3GPP systems</w:t>
      </w:r>
      <w:r>
        <w:t xml:space="preserve"> would need to</w:t>
      </w:r>
      <w:r w:rsidRPr="00727C87">
        <w:t xml:space="preserve"> </w:t>
      </w:r>
      <w:r>
        <w:t>be performed.</w:t>
      </w:r>
      <w:r w:rsidRPr="00E940DE">
        <w:t xml:space="preserve">  </w:t>
      </w:r>
    </w:p>
    <w:p w:rsidR="006977A1" w:rsidRDefault="006977A1">
      <w:pPr>
        <w:spacing w:before="0" w:after="160" w:line="259" w:lineRule="auto"/>
        <w:jc w:val="left"/>
      </w:pPr>
      <w:r>
        <w:br w:type="page"/>
      </w:r>
    </w:p>
    <w:p w:rsidR="006977A1" w:rsidRDefault="006977A1" w:rsidP="006977A1">
      <w:pPr>
        <w:rPr>
          <w:b/>
          <w:sz w:val="28"/>
        </w:rPr>
      </w:pPr>
      <w:r w:rsidRPr="00031C34">
        <w:rPr>
          <w:b/>
          <w:sz w:val="28"/>
        </w:rPr>
        <w:lastRenderedPageBreak/>
        <w:t xml:space="preserve">Annex A </w:t>
      </w:r>
      <w:r>
        <w:rPr>
          <w:b/>
          <w:sz w:val="28"/>
        </w:rPr>
        <w:t>–</w:t>
      </w:r>
      <w:r w:rsidRPr="00031C34">
        <w:rPr>
          <w:b/>
          <w:sz w:val="28"/>
        </w:rPr>
        <w:t xml:space="preserve"> </w:t>
      </w:r>
      <w:r>
        <w:rPr>
          <w:b/>
          <w:sz w:val="28"/>
        </w:rPr>
        <w:t>Detailed Analysis</w:t>
      </w:r>
    </w:p>
    <w:p w:rsidR="006977A1" w:rsidRPr="00031C34" w:rsidRDefault="006977A1" w:rsidP="006977A1">
      <w:pPr>
        <w:rPr>
          <w:b/>
          <w:sz w:val="24"/>
        </w:rPr>
      </w:pPr>
      <w:bookmarkStart w:id="0" w:name="_Toc496769090"/>
      <w:r w:rsidRPr="00031C34">
        <w:rPr>
          <w:b/>
          <w:sz w:val="24"/>
        </w:rPr>
        <w:t>Available IMSI range</w:t>
      </w:r>
    </w:p>
    <w:p w:rsidR="006977A1" w:rsidRDefault="006977A1" w:rsidP="006977A1">
      <w:pPr>
        <w:pStyle w:val="NormalParagraph"/>
        <w:rPr>
          <w:rFonts w:eastAsia="MS Mincho"/>
          <w:lang w:eastAsia="ja-JP"/>
        </w:rPr>
      </w:pPr>
      <w:r w:rsidRPr="003B2DD2">
        <w:rPr>
          <w:rFonts w:eastAsia="MS Mincho"/>
          <w:lang w:eastAsia="ja-JP"/>
        </w:rPr>
        <w:t>Of the 1,000 MCCs defined in the current E.212 IMSI structure, 238 MCCs have been assigned with 762 MCCs still available for assignment by the ITU-T (</w:t>
      </w:r>
      <w:r>
        <w:rPr>
          <w:rFonts w:eastAsia="MS Mincho"/>
          <w:lang w:eastAsia="ja-JP"/>
        </w:rPr>
        <w:t>although</w:t>
      </w:r>
      <w:r w:rsidRPr="003B2DD2">
        <w:rPr>
          <w:rFonts w:eastAsia="MS Mincho"/>
          <w:lang w:eastAsia="ja-JP"/>
        </w:rPr>
        <w:t xml:space="preserve"> some MCCs may be set aside for testing &amp; experimentation, etc.).  Activating a new MCC, either as </w:t>
      </w:r>
      <w:r>
        <w:rPr>
          <w:rFonts w:eastAsia="MS Mincho"/>
          <w:lang w:eastAsia="ja-JP"/>
        </w:rPr>
        <w:t xml:space="preserve">a </w:t>
      </w:r>
      <w:r w:rsidRPr="003B2DD2">
        <w:rPr>
          <w:rFonts w:eastAsia="MS Mincho"/>
          <w:lang w:eastAsia="ja-JP"/>
        </w:rPr>
        <w:t>geographic country code or a globally shared non-geographic code, could support a theoretical max</w:t>
      </w:r>
      <w:r>
        <w:rPr>
          <w:rFonts w:eastAsia="MS Mincho"/>
          <w:lang w:eastAsia="ja-JP"/>
        </w:rPr>
        <w:t>imum</w:t>
      </w:r>
      <w:r w:rsidRPr="003B2DD2">
        <w:rPr>
          <w:rFonts w:eastAsia="MS Mincho"/>
          <w:lang w:eastAsia="ja-JP"/>
        </w:rPr>
        <w:t xml:space="preserve"> of one Trillion IMSIs</w:t>
      </w:r>
      <w:r>
        <w:rPr>
          <w:rFonts w:eastAsia="MS Mincho"/>
          <w:lang w:eastAsia="ja-JP"/>
        </w:rPr>
        <w:t xml:space="preserve"> and therefore </w:t>
      </w:r>
      <w:r w:rsidRPr="003B2DD2">
        <w:rPr>
          <w:rFonts w:eastAsia="MS Mincho"/>
          <w:lang w:eastAsia="ja-JP"/>
        </w:rPr>
        <w:t xml:space="preserve">over 760 Trillion IMSIs can be supported by the status quo. </w:t>
      </w:r>
    </w:p>
    <w:p w:rsidR="006977A1" w:rsidRDefault="006977A1" w:rsidP="006977A1">
      <w:pPr>
        <w:pStyle w:val="NormalParagraph"/>
        <w:rPr>
          <w:rFonts w:eastAsia="MS Mincho"/>
          <w:lang w:eastAsia="ja-JP"/>
        </w:rPr>
      </w:pPr>
      <w:r w:rsidRPr="003B2DD2">
        <w:rPr>
          <w:rFonts w:eastAsia="MS Mincho"/>
          <w:lang w:eastAsia="ja-JP"/>
        </w:rPr>
        <w:t>Of the 238 MCCs already assigned, the average number of assigned MNCs per MCC is 7.43</w:t>
      </w:r>
      <w:r w:rsidR="00061823" w:rsidRPr="00A33BCB">
        <w:rPr>
          <w:rStyle w:val="FootnoteReference"/>
          <w:color w:val="FF0000"/>
          <w:lang w:val="en-US"/>
        </w:rPr>
        <w:footnoteReference w:id="1"/>
      </w:r>
      <w:r w:rsidRPr="003B2DD2">
        <w:rPr>
          <w:rFonts w:eastAsia="MS Mincho"/>
          <w:lang w:eastAsia="ja-JP"/>
        </w:rPr>
        <w:t xml:space="preserve"> (say, 8), which means there is at least (10 Billion IMSIs for each 2-</w:t>
      </w:r>
      <w:r>
        <w:rPr>
          <w:rFonts w:eastAsia="MS Mincho"/>
          <w:lang w:eastAsia="ja-JP"/>
        </w:rPr>
        <w:t>digit MNC) 92 MNCs on average per</w:t>
      </w:r>
      <w:r w:rsidRPr="003B2DD2">
        <w:rPr>
          <w:rFonts w:eastAsia="MS Mincho"/>
          <w:lang w:eastAsia="ja-JP"/>
        </w:rPr>
        <w:t xml:space="preserve"> 238 partially utilized MCCs totalling an additional 219 Trillion IMSIs unassigned. </w:t>
      </w:r>
    </w:p>
    <w:p w:rsidR="006977A1" w:rsidRDefault="006977A1" w:rsidP="006977A1">
      <w:pPr>
        <w:pStyle w:val="NormalParagraph"/>
        <w:rPr>
          <w:rFonts w:eastAsia="MS Mincho"/>
          <w:lang w:eastAsia="ja-JP"/>
        </w:rPr>
      </w:pPr>
      <w:r w:rsidRPr="003B2DD2">
        <w:rPr>
          <w:rFonts w:eastAsia="MS Mincho"/>
          <w:lang w:eastAsia="ja-JP"/>
        </w:rPr>
        <w:t>Overall the global IMSI reserve afforded by the existing E.212 structure stands at over 980 Trillion.</w:t>
      </w:r>
    </w:p>
    <w:p w:rsidR="006977A1" w:rsidRPr="00727C87" w:rsidRDefault="006977A1" w:rsidP="006977A1">
      <w:pPr>
        <w:pStyle w:val="NormalParagraph"/>
        <w:rPr>
          <w:rFonts w:eastAsia="MS Mincho"/>
          <w:lang w:eastAsia="ja-JP"/>
        </w:rPr>
      </w:pPr>
      <w:r w:rsidRPr="00727C87">
        <w:rPr>
          <w:rFonts w:eastAsia="MS Mincho"/>
          <w:lang w:eastAsia="ja-JP"/>
        </w:rPr>
        <w:t>It is noted that there are pockets of IMSI shortages that can indeed occur within the MNO’s assigned IMSI ranges. Without changing the standard IMSI format, such near-term challenges are being handled by instituting less-wastage in service provisioning and customer care diagnostics procedures, etc. Other technical work-</w:t>
      </w:r>
      <w:proofErr w:type="spellStart"/>
      <w:r w:rsidRPr="00727C87">
        <w:rPr>
          <w:rFonts w:eastAsia="MS Mincho"/>
          <w:lang w:eastAsia="ja-JP"/>
        </w:rPr>
        <w:t>arounds</w:t>
      </w:r>
      <w:proofErr w:type="spellEnd"/>
      <w:r w:rsidRPr="00727C87">
        <w:rPr>
          <w:rFonts w:eastAsia="MS Mincho"/>
          <w:lang w:eastAsia="ja-JP"/>
        </w:rPr>
        <w:t xml:space="preserve"> may also be investigated. </w:t>
      </w:r>
    </w:p>
    <w:p w:rsidR="006977A1" w:rsidRPr="003B2DD2" w:rsidRDefault="006977A1" w:rsidP="006977A1">
      <w:pPr>
        <w:pStyle w:val="NormalParagraph"/>
        <w:rPr>
          <w:rFonts w:eastAsia="MS Mincho"/>
          <w:lang w:eastAsia="ja-JP"/>
        </w:rPr>
      </w:pPr>
      <w:r w:rsidRPr="003B2DD2">
        <w:rPr>
          <w:rFonts w:eastAsia="MS Mincho"/>
          <w:lang w:eastAsia="ja-JP"/>
        </w:rPr>
        <w:t>Notwithstanding the large reserve of MCCs as mentioned, it is crucial that ITU-T maintains a set of stringent but fair assignment/reclamation principles for ‘MCC-MNC’ assignees to safeguard the margins afforded by the global IMSI numbering reserves.</w:t>
      </w:r>
      <w:r w:rsidR="00BD2F6E">
        <w:rPr>
          <w:rFonts w:eastAsia="MS Mincho"/>
          <w:lang w:eastAsia="ja-JP"/>
        </w:rPr>
        <w:t xml:space="preserve">  I</w:t>
      </w:r>
      <w:r w:rsidR="00BD2F6E">
        <w:t>t is equally vital that principles are followed by local number assignment administrators.  If these principles are not followed (e.g. by allocating large blocks of IMSIs to organisations that cannot prove their need to hold them), then this analysis may no longer be valid.</w:t>
      </w:r>
    </w:p>
    <w:bookmarkEnd w:id="0"/>
    <w:p w:rsidR="006977A1" w:rsidRPr="00031C34" w:rsidRDefault="006977A1" w:rsidP="006977A1">
      <w:pPr>
        <w:rPr>
          <w:b/>
          <w:sz w:val="24"/>
        </w:rPr>
      </w:pPr>
      <w:r w:rsidRPr="00031C34">
        <w:rPr>
          <w:b/>
          <w:sz w:val="24"/>
        </w:rPr>
        <w:t xml:space="preserve">IMSI Demand for </w:t>
      </w:r>
      <w:proofErr w:type="spellStart"/>
      <w:r w:rsidRPr="00031C34">
        <w:rPr>
          <w:b/>
          <w:sz w:val="24"/>
        </w:rPr>
        <w:t>IoT</w:t>
      </w:r>
      <w:proofErr w:type="spellEnd"/>
    </w:p>
    <w:p w:rsidR="006977A1" w:rsidRPr="002A290C" w:rsidRDefault="006977A1" w:rsidP="006977A1">
      <w:pPr>
        <w:pStyle w:val="NormalParagraph"/>
        <w:rPr>
          <w:rFonts w:eastAsia="MS Mincho"/>
          <w:lang w:eastAsia="ja-JP"/>
        </w:rPr>
      </w:pPr>
      <w:r w:rsidRPr="002A290C">
        <w:rPr>
          <w:rFonts w:eastAsia="MS Mincho"/>
          <w:lang w:eastAsia="ja-JP"/>
        </w:rPr>
        <w:t xml:space="preserve">The </w:t>
      </w:r>
      <w:r>
        <w:rPr>
          <w:rFonts w:eastAsia="MS Mincho"/>
          <w:lang w:eastAsia="ja-JP"/>
        </w:rPr>
        <w:t>large</w:t>
      </w:r>
      <w:r w:rsidRPr="002A290C">
        <w:rPr>
          <w:rFonts w:eastAsia="MS Mincho"/>
          <w:lang w:eastAsia="ja-JP"/>
        </w:rPr>
        <w:t xml:space="preserve"> size of the IMSI global numbering space needs to be appreciated in comparison with the best available </w:t>
      </w:r>
      <w:proofErr w:type="spellStart"/>
      <w:r w:rsidRPr="002A290C">
        <w:rPr>
          <w:rFonts w:eastAsia="MS Mincho"/>
          <w:lang w:eastAsia="ja-JP"/>
        </w:rPr>
        <w:t>IoT</w:t>
      </w:r>
      <w:proofErr w:type="spellEnd"/>
      <w:r w:rsidRPr="002A290C">
        <w:rPr>
          <w:rFonts w:eastAsia="MS Mincho"/>
          <w:lang w:eastAsia="ja-JP"/>
        </w:rPr>
        <w:t>/M2M market forecast in the public domain, as follows:</w:t>
      </w:r>
    </w:p>
    <w:p w:rsidR="006977A1" w:rsidRPr="00597B5C" w:rsidRDefault="006977A1" w:rsidP="006977A1">
      <w:pPr>
        <w:pStyle w:val="ListBullet1"/>
        <w:spacing w:after="0"/>
        <w:rPr>
          <w:lang w:val="en-US"/>
        </w:rPr>
      </w:pPr>
      <w:proofErr w:type="spellStart"/>
      <w:r w:rsidRPr="00597B5C">
        <w:rPr>
          <w:lang w:val="en-US"/>
        </w:rPr>
        <w:t>IoT</w:t>
      </w:r>
      <w:proofErr w:type="spellEnd"/>
      <w:r w:rsidRPr="00597B5C">
        <w:rPr>
          <w:lang w:val="en-US"/>
        </w:rPr>
        <w:t xml:space="preserve"> universe of connected devices </w:t>
      </w:r>
      <w:r>
        <w:rPr>
          <w:lang w:val="en-US"/>
        </w:rPr>
        <w:t xml:space="preserve">and </w:t>
      </w:r>
      <w:r w:rsidRPr="00597B5C">
        <w:rPr>
          <w:lang w:val="en-US"/>
        </w:rPr>
        <w:t>smart objects</w:t>
      </w:r>
      <w:r w:rsidRPr="00A33BCB">
        <w:rPr>
          <w:rStyle w:val="FootnoteReference"/>
          <w:color w:val="FF0000"/>
          <w:lang w:val="en-US"/>
        </w:rPr>
        <w:footnoteReference w:id="2"/>
      </w:r>
      <w:r w:rsidRPr="00597B5C">
        <w:rPr>
          <w:lang w:val="en-US"/>
        </w:rPr>
        <w:t>: best forecast is between 25 to 50 billion by 2025</w:t>
      </w:r>
    </w:p>
    <w:p w:rsidR="006977A1" w:rsidRPr="00597B5C" w:rsidRDefault="006977A1" w:rsidP="006977A1">
      <w:pPr>
        <w:pStyle w:val="ListBullet2"/>
        <w:rPr>
          <w:lang w:val="en-US"/>
        </w:rPr>
      </w:pPr>
      <w:r w:rsidRPr="00597B5C">
        <w:rPr>
          <w:lang w:val="en-US"/>
        </w:rPr>
        <w:t xml:space="preserve">“Over 50 Billion Connected Devices by 2020” (Ref: </w:t>
      </w:r>
      <w:hyperlink r:id="rId10" w:history="1">
        <w:r w:rsidRPr="00597B5C">
          <w:rPr>
            <w:rStyle w:val="Hyperlink"/>
            <w:lang w:val="en-US"/>
          </w:rPr>
          <w:t>Ericsson, 2010</w:t>
        </w:r>
      </w:hyperlink>
      <w:r w:rsidRPr="00597B5C">
        <w:rPr>
          <w:lang w:val="en-US"/>
        </w:rPr>
        <w:t xml:space="preserve">; Ref: </w:t>
      </w:r>
      <w:hyperlink r:id="rId11" w:history="1">
        <w:r w:rsidRPr="00597B5C">
          <w:rPr>
            <w:rStyle w:val="Hyperlink"/>
            <w:lang w:val="en-US"/>
          </w:rPr>
          <w:t>Cisco, 2011</w:t>
        </w:r>
      </w:hyperlink>
      <w:r w:rsidRPr="00597B5C">
        <w:rPr>
          <w:lang w:val="en-US"/>
        </w:rPr>
        <w:t>)</w:t>
      </w:r>
    </w:p>
    <w:p w:rsidR="006977A1" w:rsidRPr="00597B5C" w:rsidRDefault="006977A1" w:rsidP="006977A1">
      <w:pPr>
        <w:pStyle w:val="ListBullet2"/>
        <w:rPr>
          <w:lang w:val="en-US"/>
        </w:rPr>
      </w:pPr>
      <w:r w:rsidRPr="00597B5C">
        <w:rPr>
          <w:lang w:val="en-US"/>
        </w:rPr>
        <w:t xml:space="preserve">“Number of connected devices across all access technologies could reach 25.6 billion” (Ref: </w:t>
      </w:r>
      <w:hyperlink r:id="rId12" w:history="1">
        <w:r w:rsidRPr="00597B5C">
          <w:rPr>
            <w:rStyle w:val="Hyperlink"/>
            <w:lang w:val="en-US"/>
          </w:rPr>
          <w:t>GSMA</w:t>
        </w:r>
      </w:hyperlink>
      <w:hyperlink r:id="rId13" w:history="1">
        <w:r w:rsidRPr="00597B5C">
          <w:rPr>
            <w:rStyle w:val="Hyperlink"/>
            <w:lang w:val="en-US"/>
          </w:rPr>
          <w:t>/</w:t>
        </w:r>
        <w:proofErr w:type="spellStart"/>
        <w:r w:rsidRPr="00597B5C">
          <w:rPr>
            <w:rStyle w:val="Hyperlink"/>
            <w:lang w:val="en-US"/>
          </w:rPr>
          <w:t>Machina</w:t>
        </w:r>
        <w:proofErr w:type="spellEnd"/>
        <w:r w:rsidRPr="00597B5C">
          <w:rPr>
            <w:rStyle w:val="Hyperlink"/>
            <w:lang w:val="en-US"/>
          </w:rPr>
          <w:t xml:space="preserve"> Research, July 2014</w:t>
        </w:r>
      </w:hyperlink>
      <w:r w:rsidRPr="00597B5C">
        <w:rPr>
          <w:lang w:val="en-US"/>
        </w:rPr>
        <w:t xml:space="preserve">) </w:t>
      </w:r>
    </w:p>
    <w:p w:rsidR="006977A1" w:rsidRPr="00597B5C" w:rsidRDefault="006977A1" w:rsidP="006977A1">
      <w:pPr>
        <w:pStyle w:val="ListBullet2"/>
        <w:spacing w:after="0"/>
        <w:rPr>
          <w:lang w:val="en-US"/>
        </w:rPr>
      </w:pPr>
      <w:r w:rsidRPr="00597B5C">
        <w:rPr>
          <w:lang w:val="en-US"/>
        </w:rPr>
        <w:t xml:space="preserve">“Total number of </w:t>
      </w:r>
      <w:proofErr w:type="spellStart"/>
      <w:r w:rsidRPr="00597B5C">
        <w:rPr>
          <w:lang w:val="en-US"/>
        </w:rPr>
        <w:t>IoT</w:t>
      </w:r>
      <w:proofErr w:type="spellEnd"/>
      <w:r w:rsidRPr="00597B5C">
        <w:rPr>
          <w:lang w:val="en-US"/>
        </w:rPr>
        <w:t xml:space="preserve"> connections will grow from 6 billion in 2015 to 27 billion in 2025” (Ref: </w:t>
      </w:r>
      <w:hyperlink r:id="rId14" w:history="1">
        <w:proofErr w:type="spellStart"/>
        <w:r w:rsidRPr="00597B5C">
          <w:rPr>
            <w:rStyle w:val="Hyperlink"/>
            <w:lang w:val="en-US"/>
          </w:rPr>
          <w:t>Machina</w:t>
        </w:r>
        <w:proofErr w:type="spellEnd"/>
        <w:r w:rsidRPr="00597B5C">
          <w:rPr>
            <w:rStyle w:val="Hyperlink"/>
            <w:lang w:val="en-US"/>
          </w:rPr>
          <w:t xml:space="preserve"> Research, Aug 2016</w:t>
        </w:r>
      </w:hyperlink>
      <w:r w:rsidRPr="00597B5C">
        <w:rPr>
          <w:lang w:val="en-US"/>
        </w:rPr>
        <w:t xml:space="preserve">) </w:t>
      </w:r>
    </w:p>
    <w:p w:rsidR="006977A1" w:rsidRPr="00597B5C" w:rsidRDefault="006977A1" w:rsidP="006977A1">
      <w:pPr>
        <w:pStyle w:val="ListBullet1"/>
        <w:spacing w:after="0"/>
        <w:rPr>
          <w:lang w:val="en-US"/>
        </w:rPr>
      </w:pPr>
      <w:r w:rsidRPr="00597B5C">
        <w:rPr>
          <w:lang w:val="en-US"/>
        </w:rPr>
        <w:lastRenderedPageBreak/>
        <w:t xml:space="preserve">Consensus forecast is </w:t>
      </w:r>
      <w:r>
        <w:rPr>
          <w:lang w:val="en-US"/>
        </w:rPr>
        <w:t xml:space="preserve">elusive and </w:t>
      </w:r>
      <w:r w:rsidRPr="00597B5C">
        <w:rPr>
          <w:lang w:val="en-US"/>
        </w:rPr>
        <w:t>fluid</w:t>
      </w:r>
      <w:r w:rsidRPr="00A33BCB">
        <w:rPr>
          <w:rStyle w:val="FootnoteReference"/>
          <w:color w:val="FF0000"/>
          <w:lang w:val="en-US"/>
        </w:rPr>
        <w:footnoteReference w:id="3"/>
      </w:r>
      <w:r w:rsidRPr="00597B5C">
        <w:rPr>
          <w:lang w:val="en-US"/>
        </w:rPr>
        <w:t xml:space="preserve">, wide variance exists depending on: </w:t>
      </w:r>
    </w:p>
    <w:p w:rsidR="006977A1" w:rsidRPr="00597B5C" w:rsidRDefault="006977A1" w:rsidP="006977A1">
      <w:pPr>
        <w:pStyle w:val="ListBullet2"/>
        <w:rPr>
          <w:lang w:val="en-US"/>
        </w:rPr>
      </w:pPr>
      <w:r w:rsidRPr="00597B5C">
        <w:rPr>
          <w:lang w:val="en-US"/>
        </w:rPr>
        <w:t xml:space="preserve">Forecast shipments of mobile devices and </w:t>
      </w:r>
      <w:proofErr w:type="spellStart"/>
      <w:r w:rsidRPr="00597B5C">
        <w:rPr>
          <w:lang w:val="en-US"/>
        </w:rPr>
        <w:t>wearables</w:t>
      </w:r>
      <w:proofErr w:type="spellEnd"/>
    </w:p>
    <w:p w:rsidR="006977A1" w:rsidRPr="00597B5C" w:rsidRDefault="006977A1" w:rsidP="006977A1">
      <w:pPr>
        <w:pStyle w:val="ListBullet2"/>
        <w:rPr>
          <w:lang w:val="en-US"/>
        </w:rPr>
      </w:pPr>
      <w:r w:rsidRPr="00597B5C">
        <w:rPr>
          <w:lang w:val="en-US"/>
        </w:rPr>
        <w:t>Forecast of non-conventional addressable devices – communicative components within Things/Objects (microcontrollers, RFID tags, sensors, implants, actuators, futures … smart cities/communities, smart living)</w:t>
      </w:r>
    </w:p>
    <w:p w:rsidR="006977A1" w:rsidRPr="00031C34" w:rsidRDefault="006977A1" w:rsidP="006977A1">
      <w:pPr>
        <w:rPr>
          <w:b/>
          <w:sz w:val="28"/>
        </w:rPr>
      </w:pPr>
    </w:p>
    <w:p w:rsidR="006977A1" w:rsidRPr="00031C34" w:rsidRDefault="006977A1" w:rsidP="006977A1">
      <w:pPr>
        <w:rPr>
          <w:b/>
          <w:sz w:val="28"/>
        </w:rPr>
      </w:pPr>
      <w:r w:rsidRPr="00031C34">
        <w:rPr>
          <w:b/>
          <w:sz w:val="24"/>
        </w:rPr>
        <w:t>OPTION 1 – No Change</w:t>
      </w:r>
    </w:p>
    <w:p w:rsidR="006977A1" w:rsidRDefault="006977A1" w:rsidP="006977A1">
      <w:pPr>
        <w:pStyle w:val="NormalParagraph"/>
        <w:rPr>
          <w:rFonts w:eastAsia="MS Mincho"/>
          <w:lang w:eastAsia="ja-JP"/>
        </w:rPr>
      </w:pPr>
      <w:r>
        <w:rPr>
          <w:rFonts w:eastAsia="MS Mincho"/>
          <w:lang w:eastAsia="ja-JP"/>
        </w:rPr>
        <w:t>The capacity of the</w:t>
      </w:r>
      <w:r w:rsidRPr="00EF5F28">
        <w:rPr>
          <w:rFonts w:eastAsia="MS Mincho"/>
          <w:lang w:eastAsia="ja-JP"/>
        </w:rPr>
        <w:t xml:space="preserve"> global IMSI numbering space reserve of over 980 Trillion and </w:t>
      </w:r>
      <w:r>
        <w:rPr>
          <w:rFonts w:eastAsia="MS Mincho"/>
          <w:lang w:eastAsia="ja-JP"/>
        </w:rPr>
        <w:t xml:space="preserve">satisfies the </w:t>
      </w:r>
      <w:proofErr w:type="spellStart"/>
      <w:r w:rsidRPr="00EF5F28">
        <w:rPr>
          <w:rFonts w:eastAsia="MS Mincho"/>
          <w:lang w:eastAsia="ja-JP"/>
        </w:rPr>
        <w:t>IoT</w:t>
      </w:r>
      <w:proofErr w:type="spellEnd"/>
      <w:r w:rsidRPr="00EF5F28">
        <w:rPr>
          <w:rFonts w:eastAsia="MS Mincho"/>
          <w:lang w:eastAsia="ja-JP"/>
        </w:rPr>
        <w:t xml:space="preserve">/M2M market forecast of 25 to 50 Billion by 2025. </w:t>
      </w:r>
    </w:p>
    <w:p w:rsidR="006977A1" w:rsidRDefault="006977A1" w:rsidP="006977A1">
      <w:pPr>
        <w:pStyle w:val="NormalParagraph"/>
        <w:rPr>
          <w:rFonts w:eastAsia="MS Mincho"/>
          <w:lang w:eastAsia="ja-JP"/>
        </w:rPr>
      </w:pPr>
      <w:r>
        <w:rPr>
          <w:rFonts w:eastAsia="MS Mincho"/>
          <w:lang w:eastAsia="ja-JP"/>
        </w:rPr>
        <w:t>The c</w:t>
      </w:r>
      <w:r w:rsidRPr="00EF5F28">
        <w:rPr>
          <w:rFonts w:eastAsia="MS Mincho"/>
          <w:lang w:eastAsia="ja-JP"/>
        </w:rPr>
        <w:t>onclusion is that the potential increased demand for use of IMSIs</w:t>
      </w:r>
      <w:r>
        <w:rPr>
          <w:rFonts w:eastAsia="MS Mincho"/>
          <w:lang w:eastAsia="ja-JP"/>
        </w:rPr>
        <w:t>,</w:t>
      </w:r>
      <w:r w:rsidRPr="00EF5F28">
        <w:rPr>
          <w:rFonts w:eastAsia="MS Mincho"/>
          <w:lang w:eastAsia="ja-JP"/>
        </w:rPr>
        <w:t xml:space="preserve"> driven by the </w:t>
      </w:r>
      <w:proofErr w:type="spellStart"/>
      <w:r w:rsidRPr="00EF5F28">
        <w:rPr>
          <w:rFonts w:eastAsia="MS Mincho"/>
          <w:lang w:eastAsia="ja-JP"/>
        </w:rPr>
        <w:t>IoT</w:t>
      </w:r>
      <w:proofErr w:type="spellEnd"/>
      <w:r w:rsidRPr="00EF5F28">
        <w:rPr>
          <w:rFonts w:eastAsia="MS Mincho"/>
          <w:lang w:eastAsia="ja-JP"/>
        </w:rPr>
        <w:t>/M2M market forecast published to date</w:t>
      </w:r>
      <w:r>
        <w:rPr>
          <w:rFonts w:eastAsia="MS Mincho"/>
          <w:lang w:eastAsia="ja-JP"/>
        </w:rPr>
        <w:t>,</w:t>
      </w:r>
      <w:r w:rsidRPr="00EF5F28">
        <w:rPr>
          <w:rFonts w:eastAsia="MS Mincho"/>
          <w:lang w:eastAsia="ja-JP"/>
        </w:rPr>
        <w:t xml:space="preserve"> does not threaten exhaustion of the global IMSI numbering space, at least not in the foreseeable future. </w:t>
      </w:r>
    </w:p>
    <w:p w:rsidR="006977A1" w:rsidRPr="00EF5F28" w:rsidRDefault="006977A1" w:rsidP="006977A1">
      <w:pPr>
        <w:pStyle w:val="NormalParagraph"/>
        <w:rPr>
          <w:rFonts w:eastAsia="MS Mincho"/>
          <w:lang w:eastAsia="ja-JP"/>
        </w:rPr>
      </w:pPr>
      <w:r w:rsidRPr="00EF5F28">
        <w:rPr>
          <w:rFonts w:eastAsia="MS Mincho"/>
          <w:lang w:eastAsia="ja-JP"/>
        </w:rPr>
        <w:t xml:space="preserve">Option 1 affirms that the global E.212 IMSI numbering space can handle the best available </w:t>
      </w:r>
      <w:proofErr w:type="spellStart"/>
      <w:r w:rsidRPr="00EF5F28">
        <w:rPr>
          <w:rFonts w:eastAsia="MS Mincho"/>
          <w:lang w:eastAsia="ja-JP"/>
        </w:rPr>
        <w:t>IoT</w:t>
      </w:r>
      <w:proofErr w:type="spellEnd"/>
      <w:r w:rsidRPr="00EF5F28">
        <w:rPr>
          <w:rFonts w:eastAsia="MS Mincho"/>
          <w:lang w:eastAsia="ja-JP"/>
        </w:rPr>
        <w:t>/M2M market forecast driven use of IMSIs with orders of magnitude in reserve. This is more valid if an efficient management of IMSI al</w:t>
      </w:r>
      <w:r>
        <w:rPr>
          <w:rFonts w:eastAsia="MS Mincho"/>
          <w:lang w:eastAsia="ja-JP"/>
        </w:rPr>
        <w:t xml:space="preserve">location is applied both by ITU </w:t>
      </w:r>
      <w:r w:rsidRPr="00EF5F28">
        <w:rPr>
          <w:rFonts w:eastAsia="MS Mincho"/>
          <w:lang w:eastAsia="ja-JP"/>
        </w:rPr>
        <w:t>(Controlling the MCC assignments)</w:t>
      </w:r>
      <w:r w:rsidR="00BD2F6E">
        <w:rPr>
          <w:rFonts w:eastAsia="MS Mincho"/>
          <w:lang w:eastAsia="ja-JP"/>
        </w:rPr>
        <w:t xml:space="preserve">, the local administrators (assigning the Mobile Network Codes), </w:t>
      </w:r>
      <w:r w:rsidRPr="00EF5F28">
        <w:rPr>
          <w:rFonts w:eastAsia="MS Mincho"/>
          <w:lang w:eastAsia="ja-JP"/>
        </w:rPr>
        <w:t>and by MNOs (</w:t>
      </w:r>
      <w:r w:rsidR="00BD2F6E">
        <w:rPr>
          <w:rFonts w:eastAsia="MS Mincho"/>
          <w:lang w:eastAsia="ja-JP"/>
        </w:rPr>
        <w:t xml:space="preserve">e.g. </w:t>
      </w:r>
      <w:r w:rsidRPr="00EF5F28">
        <w:rPr>
          <w:rFonts w:eastAsia="MS Mincho"/>
          <w:lang w:eastAsia="ja-JP"/>
        </w:rPr>
        <w:t xml:space="preserve">with Remote SIM provisioning </w:t>
      </w:r>
      <w:r w:rsidR="00BD2F6E">
        <w:rPr>
          <w:rFonts w:eastAsia="MS Mincho"/>
          <w:lang w:eastAsia="ja-JP"/>
        </w:rPr>
        <w:t xml:space="preserve">it </w:t>
      </w:r>
      <w:r w:rsidR="00061823">
        <w:rPr>
          <w:rFonts w:eastAsia="MS Mincho"/>
          <w:lang w:eastAsia="ja-JP"/>
        </w:rPr>
        <w:t xml:space="preserve">is </w:t>
      </w:r>
      <w:r w:rsidRPr="00EF5F28">
        <w:rPr>
          <w:rFonts w:eastAsia="MS Mincho"/>
          <w:lang w:eastAsia="ja-JP"/>
        </w:rPr>
        <w:t>possible to reallocate IMSI</w:t>
      </w:r>
      <w:r w:rsidR="00BD2F6E">
        <w:rPr>
          <w:rFonts w:eastAsia="MS Mincho"/>
          <w:lang w:eastAsia="ja-JP"/>
        </w:rPr>
        <w:t>’s</w:t>
      </w:r>
      <w:r w:rsidRPr="00EF5F28">
        <w:rPr>
          <w:rFonts w:eastAsia="MS Mincho"/>
          <w:lang w:eastAsia="ja-JP"/>
        </w:rPr>
        <w:t xml:space="preserve"> </w:t>
      </w:r>
      <w:r w:rsidR="00BD2F6E">
        <w:rPr>
          <w:rFonts w:eastAsia="MS Mincho"/>
          <w:lang w:eastAsia="ja-JP"/>
        </w:rPr>
        <w:t xml:space="preserve">that are </w:t>
      </w:r>
      <w:r w:rsidRPr="00EF5F28">
        <w:rPr>
          <w:rFonts w:eastAsia="MS Mincho"/>
          <w:lang w:eastAsia="ja-JP"/>
        </w:rPr>
        <w:t xml:space="preserve">not </w:t>
      </w:r>
      <w:r w:rsidR="00BD2F6E">
        <w:rPr>
          <w:rFonts w:eastAsia="MS Mincho"/>
          <w:lang w:eastAsia="ja-JP"/>
        </w:rPr>
        <w:t xml:space="preserve">being </w:t>
      </w:r>
      <w:r w:rsidRPr="00EF5F28">
        <w:rPr>
          <w:rFonts w:eastAsia="MS Mincho"/>
          <w:lang w:eastAsia="ja-JP"/>
        </w:rPr>
        <w:t xml:space="preserve">used </w:t>
      </w:r>
      <w:r w:rsidR="00BD2F6E">
        <w:rPr>
          <w:rFonts w:eastAsia="MS Mincho"/>
          <w:lang w:eastAsia="ja-JP"/>
        </w:rPr>
        <w:t>to optimise the resource</w:t>
      </w:r>
      <w:r w:rsidRPr="00EF5F28">
        <w:rPr>
          <w:rFonts w:eastAsia="MS Mincho"/>
          <w:lang w:eastAsia="ja-JP"/>
        </w:rPr>
        <w:t>)</w:t>
      </w:r>
      <w:r w:rsidR="00BD2F6E">
        <w:rPr>
          <w:rFonts w:eastAsia="MS Mincho"/>
          <w:lang w:eastAsia="ja-JP"/>
        </w:rPr>
        <w:t>.</w:t>
      </w:r>
    </w:p>
    <w:p w:rsidR="006977A1" w:rsidRPr="00EF5F28" w:rsidRDefault="006977A1" w:rsidP="006977A1">
      <w:pPr>
        <w:pStyle w:val="NormalParagraph"/>
        <w:rPr>
          <w:rFonts w:eastAsia="MS Mincho"/>
          <w:lang w:eastAsia="ja-JP"/>
        </w:rPr>
      </w:pPr>
      <w:r w:rsidRPr="00EF5F28">
        <w:rPr>
          <w:rFonts w:eastAsia="MS Mincho"/>
          <w:lang w:eastAsia="ja-JP"/>
        </w:rPr>
        <w:t xml:space="preserve">Having established </w:t>
      </w:r>
      <w:r>
        <w:rPr>
          <w:rFonts w:eastAsia="MS Mincho"/>
          <w:lang w:eastAsia="ja-JP"/>
        </w:rPr>
        <w:t>that there is no imminent</w:t>
      </w:r>
      <w:r w:rsidRPr="00EF5F28">
        <w:rPr>
          <w:rFonts w:eastAsia="MS Mincho"/>
          <w:lang w:eastAsia="ja-JP"/>
        </w:rPr>
        <w:t xml:space="preserve"> global IMSI numbering exhaustion, efforts to investigate the other options 2 to 4 </w:t>
      </w:r>
      <w:r>
        <w:rPr>
          <w:rFonts w:eastAsia="MS Mincho"/>
          <w:lang w:eastAsia="ja-JP"/>
        </w:rPr>
        <w:t>have been targeted at a high-level</w:t>
      </w:r>
      <w:r w:rsidRPr="00EF5F28">
        <w:rPr>
          <w:rFonts w:eastAsia="MS Mincho"/>
          <w:lang w:eastAsia="ja-JP"/>
        </w:rPr>
        <w:t>. In contrast, the costs of implementing network and device component upgrades based on any changes to the IMSI format itself</w:t>
      </w:r>
      <w:r>
        <w:rPr>
          <w:rFonts w:eastAsia="MS Mincho"/>
          <w:lang w:eastAsia="ja-JP"/>
        </w:rPr>
        <w:t xml:space="preserve"> remain</w:t>
      </w:r>
      <w:r w:rsidRPr="00EF5F28">
        <w:rPr>
          <w:rFonts w:eastAsia="MS Mincho"/>
          <w:lang w:eastAsia="ja-JP"/>
        </w:rPr>
        <w:t xml:space="preserve"> a concern. </w:t>
      </w:r>
    </w:p>
    <w:p w:rsidR="006977A1" w:rsidRPr="00EF5F28" w:rsidRDefault="006977A1" w:rsidP="006977A1">
      <w:pPr>
        <w:pStyle w:val="NormalParagraph"/>
        <w:rPr>
          <w:rFonts w:eastAsia="MS Mincho"/>
          <w:lang w:eastAsia="ja-JP"/>
        </w:rPr>
      </w:pPr>
      <w:r w:rsidRPr="00EF5F28">
        <w:rPr>
          <w:rFonts w:eastAsia="MS Mincho"/>
          <w:lang w:eastAsia="ja-JP"/>
        </w:rPr>
        <w:t>The IMSI as the primary subscriber account identifier is used pervasively and ubiquitously throughout the 3GPP systems, it is not surprising to expect that changing its format r</w:t>
      </w:r>
      <w:r w:rsidR="00061823">
        <w:rPr>
          <w:rFonts w:eastAsia="MS Mincho"/>
          <w:lang w:eastAsia="ja-JP"/>
        </w:rPr>
        <w:t>equires due diligence to identif</w:t>
      </w:r>
      <w:r w:rsidRPr="00EF5F28">
        <w:rPr>
          <w:rFonts w:eastAsia="MS Mincho"/>
          <w:lang w:eastAsia="ja-JP"/>
        </w:rPr>
        <w:t xml:space="preserve">y and then upgrade each instance of IMSI read/write wherever it applies in the entire network and device component (SIM, </w:t>
      </w:r>
      <w:proofErr w:type="spellStart"/>
      <w:r w:rsidRPr="00EF5F28">
        <w:rPr>
          <w:rFonts w:eastAsia="MS Mincho"/>
          <w:lang w:eastAsia="ja-JP"/>
        </w:rPr>
        <w:t>eSIM</w:t>
      </w:r>
      <w:proofErr w:type="spellEnd"/>
      <w:r w:rsidRPr="00EF5F28">
        <w:rPr>
          <w:rFonts w:eastAsia="MS Mincho"/>
          <w:lang w:eastAsia="ja-JP"/>
        </w:rPr>
        <w:t xml:space="preserve">, UICC, </w:t>
      </w:r>
      <w:proofErr w:type="spellStart"/>
      <w:r w:rsidRPr="00EF5F28">
        <w:rPr>
          <w:rFonts w:eastAsia="MS Mincho"/>
          <w:lang w:eastAsia="ja-JP"/>
        </w:rPr>
        <w:t>eUICC</w:t>
      </w:r>
      <w:proofErr w:type="spellEnd"/>
      <w:r w:rsidRPr="00EF5F28">
        <w:rPr>
          <w:rFonts w:eastAsia="MS Mincho"/>
          <w:lang w:eastAsia="ja-JP"/>
        </w:rPr>
        <w:t xml:space="preserve">, </w:t>
      </w:r>
      <w:proofErr w:type="spellStart"/>
      <w:r w:rsidRPr="00EF5F28">
        <w:rPr>
          <w:rFonts w:eastAsia="MS Mincho"/>
          <w:lang w:eastAsia="ja-JP"/>
        </w:rPr>
        <w:t>iUICC</w:t>
      </w:r>
      <w:proofErr w:type="spellEnd"/>
      <w:r w:rsidRPr="00EF5F28">
        <w:rPr>
          <w:rFonts w:eastAsia="MS Mincho"/>
          <w:lang w:eastAsia="ja-JP"/>
        </w:rPr>
        <w:t xml:space="preserve">, etc.). </w:t>
      </w:r>
      <w:r>
        <w:rPr>
          <w:rFonts w:eastAsia="MS Mincho"/>
          <w:lang w:eastAsia="ja-JP"/>
        </w:rPr>
        <w:t xml:space="preserve"> </w:t>
      </w:r>
      <w:r>
        <w:rPr>
          <w:lang w:eastAsia="ja-JP"/>
        </w:rPr>
        <w:t>The cost of this change could be significant.</w:t>
      </w:r>
    </w:p>
    <w:p w:rsidR="0069375F" w:rsidRDefault="0069375F"/>
    <w:sectPr w:rsidR="0069375F" w:rsidSect="0075310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679" w:rsidRDefault="001E6679" w:rsidP="006977A1">
      <w:pPr>
        <w:spacing w:before="0"/>
      </w:pPr>
      <w:r>
        <w:separator/>
      </w:r>
    </w:p>
  </w:endnote>
  <w:endnote w:type="continuationSeparator" w:id="0">
    <w:p w:rsidR="001E6679" w:rsidRDefault="001E6679" w:rsidP="006977A1">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679" w:rsidRDefault="001E6679" w:rsidP="006977A1">
      <w:pPr>
        <w:spacing w:before="0"/>
      </w:pPr>
      <w:r>
        <w:separator/>
      </w:r>
    </w:p>
  </w:footnote>
  <w:footnote w:type="continuationSeparator" w:id="0">
    <w:p w:rsidR="001E6679" w:rsidRDefault="001E6679" w:rsidP="006977A1">
      <w:pPr>
        <w:spacing w:before="0"/>
      </w:pPr>
      <w:r>
        <w:continuationSeparator/>
      </w:r>
    </w:p>
  </w:footnote>
  <w:footnote w:id="1">
    <w:p w:rsidR="00061823" w:rsidRPr="00A33BCB" w:rsidRDefault="00061823" w:rsidP="00061823">
      <w:pPr>
        <w:pStyle w:val="FootnoteText"/>
        <w:ind w:left="180" w:hanging="180"/>
        <w:rPr>
          <w:lang w:val="en-US"/>
        </w:rPr>
      </w:pPr>
      <w:r w:rsidRPr="00A33BCB">
        <w:rPr>
          <w:rStyle w:val="FootnoteReference"/>
          <w:color w:val="FF0000"/>
        </w:rPr>
        <w:footnoteRef/>
      </w:r>
      <w:r>
        <w:t xml:space="preserve"> </w:t>
      </w:r>
      <w:r>
        <w:tab/>
      </w:r>
      <w:r>
        <w:rPr>
          <w:lang w:val="en-US"/>
        </w:rPr>
        <w:t>“</w:t>
      </w:r>
      <w:r w:rsidRPr="00B00CB4">
        <w:t>Status of E.212 MCC and MNC assignments</w:t>
      </w:r>
      <w:r>
        <w:t>”, ITU-T SG2 TD18(GEN/2), 2017-02-28</w:t>
      </w:r>
    </w:p>
  </w:footnote>
  <w:footnote w:id="2">
    <w:p w:rsidR="006977A1" w:rsidRPr="00A33BCB" w:rsidRDefault="006977A1" w:rsidP="006977A1">
      <w:pPr>
        <w:pStyle w:val="FootnoteText"/>
        <w:ind w:left="180" w:hanging="180"/>
        <w:rPr>
          <w:lang w:val="en-US"/>
        </w:rPr>
      </w:pPr>
      <w:r w:rsidRPr="00A33BCB">
        <w:rPr>
          <w:rStyle w:val="FootnoteReference"/>
          <w:color w:val="FF0000"/>
        </w:rPr>
        <w:footnoteRef/>
      </w:r>
      <w:r>
        <w:t xml:space="preserve"> </w:t>
      </w:r>
      <w:r>
        <w:tab/>
      </w:r>
      <w:r w:rsidRPr="00A33BCB">
        <w:t>“Internet of Things</w:t>
      </w:r>
      <w:r>
        <w:t xml:space="preserve"> (</w:t>
      </w:r>
      <w:proofErr w:type="spellStart"/>
      <w:r>
        <w:t>IoT</w:t>
      </w:r>
      <w:proofErr w:type="spellEnd"/>
      <w:r>
        <w:t>)</w:t>
      </w:r>
      <w:r w:rsidRPr="00A33BCB">
        <w:t xml:space="preserve">” herein includes all smart objects that are connectable via </w:t>
      </w:r>
      <w:proofErr w:type="spellStart"/>
      <w:r w:rsidRPr="00A33BCB">
        <w:t>wireline</w:t>
      </w:r>
      <w:proofErr w:type="spellEnd"/>
      <w:r w:rsidRPr="00A33BCB">
        <w:t>, wireless, fixed and mobile technologies, inclusive of MTC, CIoT and M2M use cases.</w:t>
      </w:r>
    </w:p>
  </w:footnote>
  <w:footnote w:id="3">
    <w:p w:rsidR="006977A1" w:rsidRPr="00A33BCB" w:rsidRDefault="006977A1" w:rsidP="006977A1">
      <w:pPr>
        <w:pStyle w:val="FootnoteText"/>
        <w:ind w:left="180" w:hanging="180"/>
        <w:rPr>
          <w:lang w:val="en-US"/>
        </w:rPr>
      </w:pPr>
      <w:r w:rsidRPr="00A33BCB">
        <w:rPr>
          <w:rStyle w:val="FootnoteReference"/>
          <w:color w:val="FF0000"/>
        </w:rPr>
        <w:footnoteRef/>
      </w:r>
      <w:r>
        <w:t xml:space="preserve"> </w:t>
      </w:r>
      <w:r>
        <w:tab/>
      </w:r>
      <w:hyperlink r:id="rId1" w:history="1">
        <w:r w:rsidRPr="00A33BCB">
          <w:rPr>
            <w:rStyle w:val="Hyperlink"/>
          </w:rPr>
          <w:t xml:space="preserve">"Popular </w:t>
        </w:r>
        <w:proofErr w:type="spellStart"/>
        <w:r w:rsidRPr="00A33BCB">
          <w:rPr>
            <w:rStyle w:val="Hyperlink"/>
          </w:rPr>
          <w:t>IoT</w:t>
        </w:r>
        <w:proofErr w:type="spellEnd"/>
        <w:r w:rsidRPr="00A33BCB">
          <w:rPr>
            <w:rStyle w:val="Hyperlink"/>
          </w:rPr>
          <w:t xml:space="preserve"> Forecast of 50 Billion Devices by 2020 Is Outdated" IEEE Spectrum Tech Talk, Aug 2016</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
    <w:nsid w:val="497545AE"/>
    <w:multiLevelType w:val="hybridMultilevel"/>
    <w:tmpl w:val="A27E6592"/>
    <w:lvl w:ilvl="0" w:tplc="2F1C9B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6977A1"/>
    <w:rsid w:val="00061823"/>
    <w:rsid w:val="00122B09"/>
    <w:rsid w:val="001D06C7"/>
    <w:rsid w:val="001E6679"/>
    <w:rsid w:val="003E36AA"/>
    <w:rsid w:val="0047542B"/>
    <w:rsid w:val="004A1DBE"/>
    <w:rsid w:val="005454EA"/>
    <w:rsid w:val="00575C2B"/>
    <w:rsid w:val="0069375F"/>
    <w:rsid w:val="006977A1"/>
    <w:rsid w:val="00753107"/>
    <w:rsid w:val="007D0247"/>
    <w:rsid w:val="009001B7"/>
    <w:rsid w:val="009C5537"/>
    <w:rsid w:val="00BD2F6E"/>
    <w:rsid w:val="00D22258"/>
    <w:rsid w:val="00DE3E31"/>
    <w:rsid w:val="00F91CB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caption" w:uiPriority="35" w:qFormat="1"/>
    <w:lsdException w:name="List Bullet 2" w:uiPriority="2" w:qFormat="1"/>
    <w:lsdException w:name="List Bullet 3" w:uiPriority="2" w:qFormat="1"/>
    <w:lsdException w:name="Title" w:semiHidden="0" w:uiPriority="27"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6977A1"/>
    <w:pPr>
      <w:spacing w:before="120" w:after="0" w:line="240" w:lineRule="auto"/>
      <w:jc w:val="both"/>
    </w:pPr>
    <w:rPr>
      <w:rFonts w:ascii="Arial" w:eastAsia="SimSun" w:hAnsi="Arial" w:cs="Times New Roman"/>
      <w:szCs w:val="20"/>
      <w:lang w:eastAsia="zh-CN" w:bidi="bn-BD"/>
    </w:rPr>
  </w:style>
  <w:style w:type="paragraph" w:styleId="Heading1">
    <w:name w:val="heading 1"/>
    <w:next w:val="NormalParagraph"/>
    <w:link w:val="Heading1Char"/>
    <w:uiPriority w:val="1"/>
    <w:qFormat/>
    <w:rsid w:val="006977A1"/>
    <w:pPr>
      <w:keepNext/>
      <w:keepLines/>
      <w:numPr>
        <w:numId w:val="1"/>
      </w:numPr>
      <w:spacing w:before="360" w:after="60" w:line="276" w:lineRule="auto"/>
      <w:outlineLvl w:val="0"/>
    </w:pPr>
    <w:rPr>
      <w:rFonts w:ascii="Arial" w:eastAsia="MS Mincho" w:hAnsi="Arial" w:cs="Arial"/>
      <w:b/>
      <w:bCs/>
      <w:sz w:val="28"/>
      <w:szCs w:val="32"/>
      <w:lang w:bidi="bn-BD"/>
    </w:rPr>
  </w:style>
  <w:style w:type="paragraph" w:styleId="Heading2">
    <w:name w:val="heading 2"/>
    <w:basedOn w:val="Heading1"/>
    <w:next w:val="NormalParagraph"/>
    <w:link w:val="Heading2Char"/>
    <w:uiPriority w:val="1"/>
    <w:qFormat/>
    <w:rsid w:val="006977A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6977A1"/>
    <w:pPr>
      <w:numPr>
        <w:ilvl w:val="2"/>
      </w:numPr>
      <w:outlineLvl w:val="2"/>
    </w:pPr>
    <w:rPr>
      <w:szCs w:val="26"/>
    </w:rPr>
  </w:style>
  <w:style w:type="paragraph" w:styleId="Heading4">
    <w:name w:val="heading 4"/>
    <w:basedOn w:val="Heading3"/>
    <w:next w:val="NormalParagraph"/>
    <w:link w:val="Heading4Char"/>
    <w:uiPriority w:val="1"/>
    <w:qFormat/>
    <w:rsid w:val="006977A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6977A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6977A1"/>
    <w:pPr>
      <w:numPr>
        <w:ilvl w:val="5"/>
      </w:numPr>
      <w:outlineLvl w:val="5"/>
    </w:pPr>
    <w:rPr>
      <w:bCs w:val="0"/>
      <w:szCs w:val="22"/>
    </w:rPr>
  </w:style>
  <w:style w:type="paragraph" w:styleId="Heading7">
    <w:name w:val="heading 7"/>
    <w:basedOn w:val="Normal"/>
    <w:next w:val="Normal"/>
    <w:link w:val="Heading7Char"/>
    <w:uiPriority w:val="1"/>
    <w:qFormat/>
    <w:rsid w:val="006977A1"/>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6977A1"/>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6977A1"/>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977A1"/>
    <w:rPr>
      <w:rFonts w:ascii="Arial" w:eastAsia="MS Mincho" w:hAnsi="Arial" w:cs="Arial"/>
      <w:b/>
      <w:bCs/>
      <w:sz w:val="28"/>
      <w:szCs w:val="32"/>
      <w:lang w:bidi="bn-BD"/>
    </w:rPr>
  </w:style>
  <w:style w:type="character" w:customStyle="1" w:styleId="Heading2Char">
    <w:name w:val="Heading 2 Char"/>
    <w:basedOn w:val="DefaultParagraphFont"/>
    <w:link w:val="Heading2"/>
    <w:uiPriority w:val="1"/>
    <w:rsid w:val="006977A1"/>
    <w:rPr>
      <w:rFonts w:ascii="Arial" w:eastAsia="MS Mincho" w:hAnsi="Arial" w:cs="Arial"/>
      <w:b/>
      <w:bCs/>
      <w:iCs/>
      <w:sz w:val="24"/>
      <w:szCs w:val="28"/>
      <w:lang w:bidi="bn-BD"/>
    </w:rPr>
  </w:style>
  <w:style w:type="character" w:customStyle="1" w:styleId="Heading3Char">
    <w:name w:val="Heading 3 Char"/>
    <w:basedOn w:val="DefaultParagraphFont"/>
    <w:link w:val="Heading3"/>
    <w:uiPriority w:val="1"/>
    <w:rsid w:val="006977A1"/>
    <w:rPr>
      <w:rFonts w:ascii="Arial" w:eastAsia="MS Mincho" w:hAnsi="Arial" w:cs="Arial"/>
      <w:b/>
      <w:bCs/>
      <w:iCs/>
      <w:sz w:val="24"/>
      <w:szCs w:val="26"/>
      <w:lang w:bidi="bn-BD"/>
    </w:rPr>
  </w:style>
  <w:style w:type="character" w:customStyle="1" w:styleId="Heading4Char">
    <w:name w:val="Heading 4 Char"/>
    <w:basedOn w:val="DefaultParagraphFont"/>
    <w:link w:val="Heading4"/>
    <w:uiPriority w:val="1"/>
    <w:rsid w:val="006977A1"/>
    <w:rPr>
      <w:rFonts w:ascii="Arial Bold" w:eastAsia="MS Mincho" w:hAnsi="Arial Bold" w:cs="Arial"/>
      <w:b/>
      <w:iCs/>
      <w:szCs w:val="28"/>
      <w:lang w:bidi="bn-BD"/>
    </w:rPr>
  </w:style>
  <w:style w:type="character" w:customStyle="1" w:styleId="Heading5Char">
    <w:name w:val="Heading 5 Char"/>
    <w:basedOn w:val="DefaultParagraphFont"/>
    <w:link w:val="Heading5"/>
    <w:uiPriority w:val="1"/>
    <w:rsid w:val="006977A1"/>
    <w:rPr>
      <w:rFonts w:ascii="Arial Bold" w:eastAsia="MS Mincho" w:hAnsi="Arial Bold" w:cs="Arial"/>
      <w:b/>
      <w:bCs/>
      <w:szCs w:val="26"/>
      <w:lang w:val="en-US" w:bidi="bn-BD"/>
    </w:rPr>
  </w:style>
  <w:style w:type="character" w:customStyle="1" w:styleId="Heading6Char">
    <w:name w:val="Heading 6 Char"/>
    <w:basedOn w:val="DefaultParagraphFont"/>
    <w:link w:val="Heading6"/>
    <w:uiPriority w:val="1"/>
    <w:rsid w:val="006977A1"/>
    <w:rPr>
      <w:rFonts w:ascii="Arial Bold" w:eastAsia="MS Mincho" w:hAnsi="Arial Bold" w:cs="Arial"/>
      <w:b/>
      <w:lang w:val="en-US" w:bidi="bn-BD"/>
    </w:rPr>
  </w:style>
  <w:style w:type="character" w:customStyle="1" w:styleId="Heading7Char">
    <w:name w:val="Heading 7 Char"/>
    <w:basedOn w:val="DefaultParagraphFont"/>
    <w:link w:val="Heading7"/>
    <w:uiPriority w:val="1"/>
    <w:rsid w:val="006977A1"/>
    <w:rPr>
      <w:rFonts w:ascii="Arial" w:eastAsia="Times New Roman" w:hAnsi="Arial" w:cs="Times New Roman"/>
      <w:i/>
      <w:szCs w:val="20"/>
      <w:lang w:bidi="bn-BD"/>
    </w:rPr>
  </w:style>
  <w:style w:type="character" w:customStyle="1" w:styleId="Heading8Char">
    <w:name w:val="Heading 8 Char"/>
    <w:basedOn w:val="DefaultParagraphFont"/>
    <w:link w:val="Heading8"/>
    <w:uiPriority w:val="1"/>
    <w:rsid w:val="006977A1"/>
    <w:rPr>
      <w:rFonts w:ascii="Arial" w:eastAsia="Times New Roman" w:hAnsi="Arial" w:cs="Times New Roman"/>
      <w:i/>
      <w:iCs/>
      <w:szCs w:val="20"/>
      <w:lang w:val="en-US" w:bidi="bn-BD"/>
    </w:rPr>
  </w:style>
  <w:style w:type="character" w:customStyle="1" w:styleId="Heading9Char">
    <w:name w:val="Heading 9 Char"/>
    <w:basedOn w:val="DefaultParagraphFont"/>
    <w:link w:val="Heading9"/>
    <w:uiPriority w:val="1"/>
    <w:rsid w:val="006977A1"/>
    <w:rPr>
      <w:rFonts w:ascii="Arial" w:eastAsia="Times New Roman" w:hAnsi="Arial" w:cs="Arial"/>
      <w:i/>
      <w:lang w:val="fr-FR" w:bidi="bn-BD"/>
    </w:rPr>
  </w:style>
  <w:style w:type="paragraph" w:styleId="Title">
    <w:name w:val="Title"/>
    <w:basedOn w:val="Normal"/>
    <w:link w:val="TitleChar"/>
    <w:uiPriority w:val="27"/>
    <w:qFormat/>
    <w:rsid w:val="006977A1"/>
    <w:pPr>
      <w:spacing w:after="60"/>
      <w:jc w:val="right"/>
    </w:pPr>
    <w:rPr>
      <w:b/>
      <w:bCs/>
      <w:kern w:val="28"/>
      <w:sz w:val="32"/>
      <w:szCs w:val="32"/>
    </w:rPr>
  </w:style>
  <w:style w:type="character" w:customStyle="1" w:styleId="TitleChar">
    <w:name w:val="Title Char"/>
    <w:basedOn w:val="DefaultParagraphFont"/>
    <w:link w:val="Title"/>
    <w:uiPriority w:val="27"/>
    <w:rsid w:val="006977A1"/>
    <w:rPr>
      <w:rFonts w:ascii="Arial" w:eastAsia="SimSun" w:hAnsi="Arial" w:cs="Times New Roman"/>
      <w:b/>
      <w:bCs/>
      <w:kern w:val="28"/>
      <w:sz w:val="32"/>
      <w:szCs w:val="32"/>
      <w:lang w:eastAsia="zh-CN" w:bidi="bn-BD"/>
    </w:rPr>
  </w:style>
  <w:style w:type="paragraph" w:styleId="Header">
    <w:name w:val="header"/>
    <w:basedOn w:val="NormalParagraph"/>
    <w:link w:val="HeaderChar"/>
    <w:uiPriority w:val="23"/>
    <w:rsid w:val="006977A1"/>
    <w:pPr>
      <w:tabs>
        <w:tab w:val="right" w:pos="8931"/>
        <w:tab w:val="right" w:pos="13892"/>
      </w:tabs>
      <w:contextualSpacing/>
    </w:pPr>
    <w:rPr>
      <w:sz w:val="20"/>
    </w:rPr>
  </w:style>
  <w:style w:type="character" w:customStyle="1" w:styleId="HeaderChar">
    <w:name w:val="Header Char"/>
    <w:basedOn w:val="DefaultParagraphFont"/>
    <w:link w:val="Header"/>
    <w:uiPriority w:val="23"/>
    <w:rsid w:val="006977A1"/>
    <w:rPr>
      <w:rFonts w:ascii="Arial" w:eastAsia="SimSun" w:hAnsi="Arial" w:cs="Times New Roman"/>
      <w:sz w:val="20"/>
      <w:lang w:eastAsia="en-GB"/>
    </w:rPr>
  </w:style>
  <w:style w:type="paragraph" w:customStyle="1" w:styleId="ListBullet1">
    <w:name w:val="List Bullet 1"/>
    <w:basedOn w:val="NormalParagraph"/>
    <w:uiPriority w:val="2"/>
    <w:qFormat/>
    <w:rsid w:val="006977A1"/>
    <w:pPr>
      <w:numPr>
        <w:numId w:val="2"/>
      </w:numPr>
      <w:tabs>
        <w:tab w:val="left" w:pos="680"/>
      </w:tabs>
      <w:contextualSpacing/>
    </w:pPr>
  </w:style>
  <w:style w:type="paragraph" w:styleId="ListBullet2">
    <w:name w:val="List Bullet 2"/>
    <w:basedOn w:val="ListBullet1"/>
    <w:uiPriority w:val="2"/>
    <w:qFormat/>
    <w:rsid w:val="006977A1"/>
    <w:pPr>
      <w:numPr>
        <w:ilvl w:val="1"/>
      </w:numPr>
      <w:tabs>
        <w:tab w:val="clear" w:pos="680"/>
        <w:tab w:val="left" w:pos="1021"/>
      </w:tabs>
    </w:pPr>
  </w:style>
  <w:style w:type="paragraph" w:customStyle="1" w:styleId="TableHeader">
    <w:name w:val="Table Header"/>
    <w:basedOn w:val="NormalParagraph"/>
    <w:uiPriority w:val="18"/>
    <w:qFormat/>
    <w:rsid w:val="006977A1"/>
    <w:pPr>
      <w:keepNext/>
      <w:spacing w:before="60" w:after="0"/>
    </w:pPr>
    <w:rPr>
      <w:rFonts w:cs="Arial"/>
      <w:b/>
      <w:color w:val="FFFFFF"/>
      <w:lang w:val="en-US"/>
    </w:rPr>
  </w:style>
  <w:style w:type="character" w:styleId="Hyperlink">
    <w:name w:val="Hyperlink"/>
    <w:uiPriority w:val="99"/>
    <w:unhideWhenUsed/>
    <w:rsid w:val="006977A1"/>
    <w:rPr>
      <w:color w:val="0000FF"/>
      <w:u w:val="single"/>
    </w:rPr>
  </w:style>
  <w:style w:type="paragraph" w:customStyle="1" w:styleId="TableText">
    <w:name w:val="Table Text"/>
    <w:basedOn w:val="NormalParagraph"/>
    <w:link w:val="TableTextChar"/>
    <w:uiPriority w:val="19"/>
    <w:qFormat/>
    <w:rsid w:val="006977A1"/>
    <w:pPr>
      <w:spacing w:before="40" w:after="40"/>
    </w:pPr>
    <w:rPr>
      <w:sz w:val="20"/>
      <w:lang w:eastAsia="de-DE"/>
    </w:rPr>
  </w:style>
  <w:style w:type="paragraph" w:styleId="ListBullet3">
    <w:name w:val="List Bullet 3"/>
    <w:basedOn w:val="ListBullet2"/>
    <w:uiPriority w:val="2"/>
    <w:qFormat/>
    <w:rsid w:val="006977A1"/>
    <w:pPr>
      <w:numPr>
        <w:ilvl w:val="2"/>
      </w:numPr>
      <w:tabs>
        <w:tab w:val="clear" w:pos="1021"/>
        <w:tab w:val="left" w:pos="1361"/>
      </w:tabs>
    </w:pPr>
  </w:style>
  <w:style w:type="character" w:customStyle="1" w:styleId="TableTextChar">
    <w:name w:val="Table Text Char"/>
    <w:link w:val="TableText"/>
    <w:uiPriority w:val="19"/>
    <w:rsid w:val="006977A1"/>
    <w:rPr>
      <w:rFonts w:ascii="Arial" w:eastAsia="SimSun" w:hAnsi="Arial" w:cs="Times New Roman"/>
      <w:sz w:val="20"/>
      <w:lang w:eastAsia="de-DE"/>
    </w:rPr>
  </w:style>
  <w:style w:type="paragraph" w:customStyle="1" w:styleId="CSLegalTxt">
    <w:name w:val="CS LegalTxt"/>
    <w:uiPriority w:val="29"/>
    <w:unhideWhenUsed/>
    <w:rsid w:val="006977A1"/>
    <w:pPr>
      <w:spacing w:after="0" w:line="240" w:lineRule="auto"/>
      <w:jc w:val="both"/>
    </w:pPr>
    <w:rPr>
      <w:rFonts w:ascii="Arial" w:eastAsia="MS Mincho" w:hAnsi="Arial" w:cs="Arial"/>
      <w:bCs/>
      <w:sz w:val="14"/>
    </w:rPr>
  </w:style>
  <w:style w:type="paragraph" w:customStyle="1" w:styleId="CSTableTitle">
    <w:name w:val="CS TableTitle"/>
    <w:next w:val="Normal"/>
    <w:uiPriority w:val="29"/>
    <w:unhideWhenUsed/>
    <w:rsid w:val="006977A1"/>
    <w:pPr>
      <w:spacing w:after="0" w:line="240" w:lineRule="auto"/>
      <w:jc w:val="center"/>
    </w:pPr>
    <w:rPr>
      <w:rFonts w:ascii="Arial" w:eastAsia="Arial" w:hAnsi="Arial" w:cs="Arial"/>
      <w:b/>
      <w:i/>
      <w:snapToGrid w:val="0"/>
    </w:rPr>
  </w:style>
  <w:style w:type="paragraph" w:customStyle="1" w:styleId="CSFieldName">
    <w:name w:val="CS FieldName"/>
    <w:uiPriority w:val="29"/>
    <w:unhideWhenUsed/>
    <w:rsid w:val="006977A1"/>
    <w:pPr>
      <w:spacing w:after="0" w:line="240" w:lineRule="auto"/>
    </w:pPr>
    <w:rPr>
      <w:rFonts w:ascii="Arial" w:eastAsia="MS Mincho" w:hAnsi="Arial" w:cs="Arial"/>
      <w:bCs/>
      <w:sz w:val="20"/>
    </w:rPr>
  </w:style>
  <w:style w:type="paragraph" w:customStyle="1" w:styleId="CSDocNo">
    <w:name w:val="CS DocNo"/>
    <w:uiPriority w:val="29"/>
    <w:unhideWhenUsed/>
    <w:rsid w:val="006977A1"/>
    <w:pPr>
      <w:framePr w:hSpace="180" w:wrap="notBeside" w:hAnchor="margin" w:y="359"/>
      <w:spacing w:after="0" w:line="240" w:lineRule="auto"/>
      <w:ind w:left="560"/>
      <w:jc w:val="right"/>
    </w:pPr>
    <w:rPr>
      <w:rFonts w:ascii="Arial" w:eastAsia="MS Mincho" w:hAnsi="Arial" w:cs="Times New Roman"/>
      <w:b/>
      <w:sz w:val="32"/>
      <w:szCs w:val="20"/>
      <w:lang w:val="en-IE"/>
    </w:rPr>
  </w:style>
  <w:style w:type="paragraph" w:customStyle="1" w:styleId="CSFieldInfo">
    <w:name w:val="CS FieldInfo"/>
    <w:uiPriority w:val="29"/>
    <w:unhideWhenUsed/>
    <w:rsid w:val="006977A1"/>
    <w:pPr>
      <w:framePr w:wrap="around" w:vAnchor="text" w:hAnchor="page" w:y="1"/>
      <w:spacing w:before="60" w:after="60" w:line="240" w:lineRule="auto"/>
    </w:pPr>
    <w:rPr>
      <w:rFonts w:ascii="Arial" w:eastAsia="MS Mincho" w:hAnsi="Arial" w:cs="Arial"/>
      <w:bCs/>
      <w:sz w:val="20"/>
    </w:rPr>
  </w:style>
  <w:style w:type="paragraph" w:customStyle="1" w:styleId="CSDocTitle">
    <w:name w:val="CS DocTitle"/>
    <w:uiPriority w:val="29"/>
    <w:unhideWhenUsed/>
    <w:rsid w:val="006977A1"/>
    <w:pPr>
      <w:spacing w:before="360" w:after="0" w:line="240" w:lineRule="auto"/>
    </w:pPr>
    <w:rPr>
      <w:rFonts w:ascii="Arial" w:eastAsia="MS Mincho" w:hAnsi="Arial" w:cs="Times New Roman"/>
      <w:b/>
      <w:sz w:val="36"/>
      <w:szCs w:val="20"/>
      <w:lang w:val="en-IE"/>
    </w:rPr>
  </w:style>
  <w:style w:type="paragraph" w:customStyle="1" w:styleId="NormalParagraph">
    <w:name w:val="Normal Paragraph"/>
    <w:qFormat/>
    <w:rsid w:val="006977A1"/>
    <w:pPr>
      <w:spacing w:after="200" w:line="276" w:lineRule="auto"/>
    </w:pPr>
    <w:rPr>
      <w:rFonts w:ascii="Arial" w:eastAsia="SimSun" w:hAnsi="Arial" w:cs="Times New Roman"/>
      <w:lang w:eastAsia="en-GB"/>
    </w:rPr>
  </w:style>
  <w:style w:type="paragraph" w:customStyle="1" w:styleId="ListBulletsub">
    <w:name w:val="List Bullet (sub)"/>
    <w:basedOn w:val="ListBullet3"/>
    <w:uiPriority w:val="5"/>
    <w:qFormat/>
    <w:rsid w:val="006977A1"/>
    <w:pPr>
      <w:numPr>
        <w:ilvl w:val="3"/>
      </w:numPr>
      <w:tabs>
        <w:tab w:val="clear" w:pos="1361"/>
        <w:tab w:val="left" w:pos="1701"/>
      </w:tabs>
    </w:pPr>
  </w:style>
  <w:style w:type="numbering" w:customStyle="1" w:styleId="ListBullets">
    <w:name w:val="ListBullets"/>
    <w:uiPriority w:val="99"/>
    <w:rsid w:val="006977A1"/>
    <w:pPr>
      <w:numPr>
        <w:numId w:val="2"/>
      </w:numPr>
    </w:pPr>
  </w:style>
  <w:style w:type="character" w:styleId="PlaceholderText">
    <w:name w:val="Placeholder Text"/>
    <w:uiPriority w:val="99"/>
    <w:semiHidden/>
    <w:rsid w:val="006977A1"/>
    <w:rPr>
      <w:color w:val="808080"/>
    </w:rPr>
  </w:style>
  <w:style w:type="paragraph" w:styleId="FootnoteText">
    <w:name w:val="footnote text"/>
    <w:basedOn w:val="NormalParagraph"/>
    <w:link w:val="FootnoteTextChar"/>
    <w:uiPriority w:val="17"/>
    <w:rsid w:val="006977A1"/>
    <w:pPr>
      <w:spacing w:after="120"/>
    </w:pPr>
    <w:rPr>
      <w:sz w:val="20"/>
      <w:szCs w:val="25"/>
    </w:rPr>
  </w:style>
  <w:style w:type="character" w:customStyle="1" w:styleId="FootnoteTextChar">
    <w:name w:val="Footnote Text Char"/>
    <w:basedOn w:val="DefaultParagraphFont"/>
    <w:link w:val="FootnoteText"/>
    <w:uiPriority w:val="17"/>
    <w:rsid w:val="006977A1"/>
    <w:rPr>
      <w:rFonts w:ascii="Arial" w:eastAsia="SimSun" w:hAnsi="Arial" w:cs="Times New Roman"/>
      <w:sz w:val="20"/>
      <w:szCs w:val="25"/>
      <w:lang w:eastAsia="en-GB"/>
    </w:rPr>
  </w:style>
  <w:style w:type="character" w:styleId="FootnoteReference">
    <w:name w:val="footnote reference"/>
    <w:uiPriority w:val="99"/>
    <w:semiHidden/>
    <w:unhideWhenUsed/>
    <w:rsid w:val="006977A1"/>
    <w:rPr>
      <w:vertAlign w:val="superscript"/>
    </w:rPr>
  </w:style>
  <w:style w:type="paragraph" w:styleId="ListParagraph">
    <w:name w:val="List Paragraph"/>
    <w:basedOn w:val="ListNumber"/>
    <w:uiPriority w:val="34"/>
    <w:qFormat/>
    <w:rsid w:val="00BD2F6E"/>
    <w:pPr>
      <w:spacing w:before="0" w:after="200" w:line="276" w:lineRule="auto"/>
    </w:pPr>
  </w:style>
  <w:style w:type="paragraph" w:styleId="ListNumber">
    <w:name w:val="List Number"/>
    <w:basedOn w:val="Normal"/>
    <w:uiPriority w:val="99"/>
    <w:semiHidden/>
    <w:unhideWhenUsed/>
    <w:rsid w:val="00BD2F6E"/>
    <w:pPr>
      <w:tabs>
        <w:tab w:val="num" w:pos="360"/>
      </w:tabs>
      <w:ind w:left="360" w:hanging="360"/>
      <w:contextualSpacing/>
    </w:pPr>
  </w:style>
  <w:style w:type="paragraph" w:customStyle="1" w:styleId="CRCoverPage">
    <w:name w:val="CR Cover Page"/>
    <w:link w:val="CRCoverPageZchn"/>
    <w:rsid w:val="00F91CB1"/>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F91CB1"/>
    <w:rPr>
      <w:rFonts w:ascii="Arial" w:eastAsia="Times New Roman" w:hAnsi="Arial"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tatements@gsma.com" TargetMode="External"/><Relationship Id="rId13" Type="http://schemas.openxmlformats.org/officeDocument/2006/relationships/hyperlink" Target="https://www.google.com/url?sa=t&amp;rct=j&amp;q=&amp;esrc=s&amp;source=web&amp;cd=1&amp;ved=0ahUKEwjsh7S8qdnWAhVH02MKHcLNBskQFggoMAA&amp;url=https://www.gsma.com/iot/wp-content/uploads/2014/08/cl_iot_wp_07_14.pdf&amp;usg=AOvVaw1p2-0A7s_zz174h2YPpq5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google.com/url?sa=t&amp;rct=j&amp;q=&amp;esrc=s&amp;source=web&amp;cd=1&amp;ved=0ahUKEwjsh7S8qdnWAhVH02MKHcLNBskQFggoMAA&amp;url=https://www.gsma.com/iot/wp-content/uploads/2014/08/cl_iot_wp_07_14.pdf&amp;usg=AOvVaw1p2-0A7s_zz174h2YPpq5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isco.com/c/dam/en_us/about/ac79/docs/innov/IoT_IBSG_0411FINAL.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ricsson.com/en/press-releases/2010/4/ceo-to-shareholders-50-billion-connections-202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machinaresearch.com/news/press-release-global-internet-of-things-market-to-grow-to-27-billion-devices-generating-usd3-trillion-revenue-in-202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pectrum.ieee.org/tech-talk/telecom/internet/popular-internet-of-things-forecast-of-50-billion-devices-by-2020-is-outdate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2590A76F1264BC3A86717ACC6F97AB9"/>
        <w:category>
          <w:name w:val="General"/>
          <w:gallery w:val="placeholder"/>
        </w:category>
        <w:types>
          <w:type w:val="bbPlcHdr"/>
        </w:types>
        <w:behaviors>
          <w:behavior w:val="content"/>
        </w:behaviors>
        <w:guid w:val="{A090FD70-F927-4CA5-8C2C-4B8EB3CE1DD2}"/>
      </w:docPartPr>
      <w:docPartBody>
        <w:p w:rsidR="00136733" w:rsidRDefault="003A4AE3" w:rsidP="003A4AE3">
          <w:pPr>
            <w:pStyle w:val="92590A76F1264BC3A86717ACC6F97AB9"/>
          </w:pPr>
          <w:r w:rsidRPr="00A164DA">
            <w:rPr>
              <w:rStyle w:val="PlaceholderText"/>
            </w:rPr>
            <w:t>[Document Title]</w:t>
          </w:r>
        </w:p>
      </w:docPartBody>
    </w:docPart>
    <w:docPart>
      <w:docPartPr>
        <w:name w:val="0C9F26EB5E254A4EBC0ACB4F75CF1B09"/>
        <w:category>
          <w:name w:val="General"/>
          <w:gallery w:val="placeholder"/>
        </w:category>
        <w:types>
          <w:type w:val="bbPlcHdr"/>
        </w:types>
        <w:behaviors>
          <w:behavior w:val="content"/>
        </w:behaviors>
        <w:guid w:val="{5490FEC5-217B-46BD-93E0-10A81FCB8F52}"/>
      </w:docPartPr>
      <w:docPartBody>
        <w:p w:rsidR="00136733" w:rsidRDefault="003A4AE3" w:rsidP="003A4AE3">
          <w:pPr>
            <w:pStyle w:val="0C9F26EB5E254A4EBC0ACB4F75CF1B09"/>
          </w:pPr>
          <w:r w:rsidRPr="00A164DA">
            <w:rPr>
              <w:rStyle w:val="PlaceholderText"/>
            </w:rPr>
            <w:t>[Meeting Name and Number Text]</w:t>
          </w:r>
        </w:p>
      </w:docPartBody>
    </w:docPart>
    <w:docPart>
      <w:docPartPr>
        <w:name w:val="2902718416944565AC60C8B9A9BA762B"/>
        <w:category>
          <w:name w:val="General"/>
          <w:gallery w:val="placeholder"/>
        </w:category>
        <w:types>
          <w:type w:val="bbPlcHdr"/>
        </w:types>
        <w:behaviors>
          <w:behavior w:val="content"/>
        </w:behaviors>
        <w:guid w:val="{97A7CAB0-E065-4B70-9730-E929988F5CC1}"/>
      </w:docPartPr>
      <w:docPartBody>
        <w:p w:rsidR="00136733" w:rsidRDefault="003A4AE3" w:rsidP="003A4AE3">
          <w:pPr>
            <w:pStyle w:val="2902718416944565AC60C8B9A9BA762B"/>
          </w:pPr>
          <w:r w:rsidRPr="00A164DA">
            <w:rPr>
              <w:rStyle w:val="PlaceholderText"/>
            </w:rPr>
            <w:t>[Meeting Date]</w:t>
          </w:r>
        </w:p>
      </w:docPartBody>
    </w:docPart>
    <w:docPart>
      <w:docPartPr>
        <w:name w:val="76598D5D36CB496CA47C4DE7C90E133F"/>
        <w:category>
          <w:name w:val="General"/>
          <w:gallery w:val="placeholder"/>
        </w:category>
        <w:types>
          <w:type w:val="bbPlcHdr"/>
        </w:types>
        <w:behaviors>
          <w:behavior w:val="content"/>
        </w:behaviors>
        <w:guid w:val="{5E836D53-D657-4D0F-B3A6-CE1748707BB5}"/>
      </w:docPartPr>
      <w:docPartBody>
        <w:p w:rsidR="00136733" w:rsidRDefault="003A4AE3" w:rsidP="003A4AE3">
          <w:pPr>
            <w:pStyle w:val="76598D5D36CB496CA47C4DE7C90E133F"/>
          </w:pPr>
          <w:r w:rsidRPr="00A164DA">
            <w:rPr>
              <w:rStyle w:val="PlaceholderText"/>
            </w:rPr>
            <w:t>[Meeting Location]</w:t>
          </w:r>
        </w:p>
      </w:docPartBody>
    </w:docPart>
    <w:docPart>
      <w:docPartPr>
        <w:name w:val="3D2108A0A34548239F1B5DCB0C494F07"/>
        <w:category>
          <w:name w:val="General"/>
          <w:gallery w:val="placeholder"/>
        </w:category>
        <w:types>
          <w:type w:val="bbPlcHdr"/>
        </w:types>
        <w:behaviors>
          <w:behavior w:val="content"/>
        </w:behaviors>
        <w:guid w:val="{72678C25-DAAD-4A29-B42D-29B58DCB0071}"/>
      </w:docPartPr>
      <w:docPartBody>
        <w:p w:rsidR="00136733" w:rsidRDefault="003A4AE3" w:rsidP="003A4AE3">
          <w:pPr>
            <w:pStyle w:val="3D2108A0A34548239F1B5DCB0C494F07"/>
          </w:pPr>
          <w:r w:rsidRPr="004F4858">
            <w:rPr>
              <w:rStyle w:val="PlaceholderText"/>
            </w:rPr>
            <w:t>[Meeting Document Number]</w:t>
          </w:r>
        </w:p>
      </w:docPartBody>
    </w:docPart>
    <w:docPart>
      <w:docPartPr>
        <w:name w:val="47AFD2FC56CC4A7C97BDA3F15D525A76"/>
        <w:category>
          <w:name w:val="General"/>
          <w:gallery w:val="placeholder"/>
        </w:category>
        <w:types>
          <w:type w:val="bbPlcHdr"/>
        </w:types>
        <w:behaviors>
          <w:behavior w:val="content"/>
        </w:behaviors>
        <w:guid w:val="{8DB2E838-4ED4-4543-8218-69362B23F37F}"/>
      </w:docPartPr>
      <w:docPartBody>
        <w:p w:rsidR="00136733" w:rsidRDefault="003A4AE3" w:rsidP="003A4AE3">
          <w:pPr>
            <w:pStyle w:val="47AFD2FC56CC4A7C97BDA3F15D525A76"/>
          </w:pPr>
          <w:r w:rsidRPr="00A164DA">
            <w:rPr>
              <w:rStyle w:val="PlaceholderText"/>
            </w:rPr>
            <w:t>[Document Creation Date]</w:t>
          </w:r>
        </w:p>
      </w:docPartBody>
    </w:docPart>
    <w:docPart>
      <w:docPartPr>
        <w:name w:val="5F499F508712418AA1E7B440C104C09E"/>
        <w:category>
          <w:name w:val="General"/>
          <w:gallery w:val="placeholder"/>
        </w:category>
        <w:types>
          <w:type w:val="bbPlcHdr"/>
        </w:types>
        <w:behaviors>
          <w:behavior w:val="content"/>
        </w:behaviors>
        <w:guid w:val="{17001755-FEA7-4AA6-8A5F-C217EAEFE3B0}"/>
      </w:docPartPr>
      <w:docPartBody>
        <w:p w:rsidR="00136733" w:rsidRDefault="003A4AE3" w:rsidP="003A4AE3">
          <w:pPr>
            <w:pStyle w:val="5F499F508712418AA1E7B440C104C09E"/>
          </w:pPr>
          <w:r w:rsidRPr="00A164DA">
            <w:rPr>
              <w:rStyle w:val="PlaceholderText"/>
            </w:rPr>
            <w:t>[Security Classification]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A4AE3"/>
    <w:rsid w:val="00083769"/>
    <w:rsid w:val="00136733"/>
    <w:rsid w:val="003A4AE3"/>
    <w:rsid w:val="0056411D"/>
    <w:rsid w:val="00986465"/>
    <w:rsid w:val="00A97EB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A4AE3"/>
    <w:rPr>
      <w:color w:val="808080"/>
    </w:rPr>
  </w:style>
  <w:style w:type="paragraph" w:customStyle="1" w:styleId="92590A76F1264BC3A86717ACC6F97AB9">
    <w:name w:val="92590A76F1264BC3A86717ACC6F97AB9"/>
    <w:rsid w:val="003A4AE3"/>
  </w:style>
  <w:style w:type="paragraph" w:customStyle="1" w:styleId="0C9F26EB5E254A4EBC0ACB4F75CF1B09">
    <w:name w:val="0C9F26EB5E254A4EBC0ACB4F75CF1B09"/>
    <w:rsid w:val="003A4AE3"/>
  </w:style>
  <w:style w:type="paragraph" w:customStyle="1" w:styleId="2902718416944565AC60C8B9A9BA762B">
    <w:name w:val="2902718416944565AC60C8B9A9BA762B"/>
    <w:rsid w:val="003A4AE3"/>
  </w:style>
  <w:style w:type="paragraph" w:customStyle="1" w:styleId="76598D5D36CB496CA47C4DE7C90E133F">
    <w:name w:val="76598D5D36CB496CA47C4DE7C90E133F"/>
    <w:rsid w:val="003A4AE3"/>
  </w:style>
  <w:style w:type="paragraph" w:customStyle="1" w:styleId="3D2108A0A34548239F1B5DCB0C494F07">
    <w:name w:val="3D2108A0A34548239F1B5DCB0C494F07"/>
    <w:rsid w:val="003A4AE3"/>
  </w:style>
  <w:style w:type="paragraph" w:customStyle="1" w:styleId="47AFD2FC56CC4A7C97BDA3F15D525A76">
    <w:name w:val="47AFD2FC56CC4A7C97BDA3F15D525A76"/>
    <w:rsid w:val="003A4AE3"/>
  </w:style>
  <w:style w:type="paragraph" w:customStyle="1" w:styleId="5F499F508712418AA1E7B440C104C09E">
    <w:name w:val="5F499F508712418AA1E7B440C104C09E"/>
    <w:rsid w:val="003A4AE3"/>
  </w:style>
  <w:style w:type="paragraph" w:customStyle="1" w:styleId="30C960D9D7994FC6928AA79514AB48D5">
    <w:name w:val="30C960D9D7994FC6928AA79514AB48D5"/>
    <w:rsid w:val="003A4AE3"/>
  </w:style>
  <w:style w:type="paragraph" w:customStyle="1" w:styleId="AA3BF6F707594DA8802790EB2F55CB59">
    <w:name w:val="AA3BF6F707594DA8802790EB2F55CB59"/>
    <w:rsid w:val="003A4AE3"/>
  </w:style>
  <w:style w:type="paragraph" w:customStyle="1" w:styleId="D8B16D8C345648A2AF2FCA33985A00AA">
    <w:name w:val="D8B16D8C345648A2AF2FCA33985A00AA"/>
    <w:rsid w:val="003A4AE3"/>
  </w:style>
  <w:style w:type="paragraph" w:customStyle="1" w:styleId="41F08A1E9C6843F181372107B3CD135D">
    <w:name w:val="41F08A1E9C6843F181372107B3CD135D"/>
    <w:rsid w:val="003A4AE3"/>
  </w:style>
  <w:style w:type="paragraph" w:customStyle="1" w:styleId="263CBEB76E284E81B6AFBED14529EEA7">
    <w:name w:val="263CBEB76E284E81B6AFBED14529EEA7"/>
    <w:rsid w:val="003A4AE3"/>
  </w:style>
  <w:style w:type="paragraph" w:customStyle="1" w:styleId="1A21DA54A988497BB3FC475F2B546C67">
    <w:name w:val="1A21DA54A988497BB3FC475F2B546C67"/>
    <w:rsid w:val="003A4AE3"/>
  </w:style>
  <w:style w:type="paragraph" w:customStyle="1" w:styleId="15A6426D330E49A1A158337A3C1A01EC">
    <w:name w:val="15A6426D330E49A1A158337A3C1A01EC"/>
    <w:rsid w:val="003A4AE3"/>
  </w:style>
  <w:style w:type="paragraph" w:customStyle="1" w:styleId="181D35765DB8426DB978BC1733DABAF3">
    <w:name w:val="181D35765DB8426DB978BC1733DABAF3"/>
    <w:rsid w:val="003A4AE3"/>
  </w:style>
  <w:style w:type="paragraph" w:customStyle="1" w:styleId="592271CC9F8A4E66BFC537F645E9C87C">
    <w:name w:val="592271CC9F8A4E66BFC537F645E9C87C"/>
    <w:rsid w:val="003A4AE3"/>
  </w:style>
  <w:style w:type="paragraph" w:customStyle="1" w:styleId="C9719C7E34AF4BC69708575E54AD581A">
    <w:name w:val="C9719C7E34AF4BC69708575E54AD581A"/>
    <w:rsid w:val="003A4AE3"/>
  </w:style>
  <w:style w:type="paragraph" w:customStyle="1" w:styleId="97CC347D11384A5BA11DC5A723B73627">
    <w:name w:val="97CC347D11384A5BA11DC5A723B73627"/>
    <w:rsid w:val="003A4AE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Hutton</dc:creator>
  <cp:keywords/>
  <dc:description/>
  <cp:lastModifiedBy>MCC Changes</cp:lastModifiedBy>
  <cp:revision>6</cp:revision>
  <dcterms:created xsi:type="dcterms:W3CDTF">2017-11-17T16:20:00Z</dcterms:created>
  <dcterms:modified xsi:type="dcterms:W3CDTF">2017-12-07T15:02:00Z</dcterms:modified>
</cp:coreProperties>
</file>